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5DED" w14:textId="77777777" w:rsidR="00A52E7B" w:rsidRPr="00E56E55" w:rsidRDefault="00A52E7B" w:rsidP="00A52E7B">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1:  IDENTIFICATION OF THE SUBSTANCE/MIXTURE AND OF THE COMPANY/UNDERTAKING</w:t>
      </w:r>
    </w:p>
    <w:p w14:paraId="3CB1FF0F" w14:textId="7E5CBF6A" w:rsidR="00A52E7B" w:rsidRPr="00E56E55" w:rsidRDefault="00A52E7B" w:rsidP="00D50D88">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044"/>
        <w:gridCol w:w="5477"/>
      </w:tblGrid>
      <w:tr w:rsidR="00A52E7B" w:rsidRPr="00E56E55" w14:paraId="635C9672" w14:textId="77777777" w:rsidTr="006904AC">
        <w:tc>
          <w:tcPr>
            <w:tcW w:w="495" w:type="dxa"/>
          </w:tcPr>
          <w:p w14:paraId="07A0646C" w14:textId="3E7CFDC8" w:rsidR="00A52E7B" w:rsidRPr="00E56E55" w:rsidRDefault="00A52E7B" w:rsidP="00D50D88">
            <w:pPr>
              <w:rPr>
                <w:b/>
                <w:bCs/>
                <w:sz w:val="20"/>
                <w:szCs w:val="20"/>
              </w:rPr>
            </w:pPr>
            <w:r w:rsidRPr="00E56E55">
              <w:rPr>
                <w:b/>
                <w:bCs/>
                <w:sz w:val="20"/>
                <w:szCs w:val="20"/>
              </w:rPr>
              <w:t>1.1</w:t>
            </w:r>
          </w:p>
        </w:tc>
        <w:tc>
          <w:tcPr>
            <w:tcW w:w="3044" w:type="dxa"/>
          </w:tcPr>
          <w:p w14:paraId="2F393BBB" w14:textId="201DE203" w:rsidR="00A52E7B" w:rsidRPr="00E56E55" w:rsidRDefault="00A52E7B" w:rsidP="00D50D88">
            <w:pPr>
              <w:rPr>
                <w:sz w:val="20"/>
                <w:szCs w:val="20"/>
              </w:rPr>
            </w:pPr>
            <w:r w:rsidRPr="00E56E55">
              <w:rPr>
                <w:b/>
                <w:sz w:val="20"/>
                <w:szCs w:val="20"/>
              </w:rPr>
              <w:t>Product Name</w:t>
            </w:r>
            <w:r w:rsidRPr="00E56E55">
              <w:rPr>
                <w:b/>
                <w:sz w:val="20"/>
                <w:szCs w:val="20"/>
              </w:rPr>
              <w:tab/>
            </w:r>
          </w:p>
        </w:tc>
        <w:tc>
          <w:tcPr>
            <w:tcW w:w="5477" w:type="dxa"/>
            <w:tcBorders>
              <w:bottom w:val="single" w:sz="4" w:space="0" w:color="auto"/>
            </w:tcBorders>
          </w:tcPr>
          <w:p w14:paraId="41B54D20" w14:textId="62FAE8BC" w:rsidR="00A52E7B" w:rsidRPr="00E56E55" w:rsidRDefault="00A52E7B" w:rsidP="00D50D88">
            <w:pPr>
              <w:rPr>
                <w:sz w:val="20"/>
                <w:szCs w:val="20"/>
              </w:rPr>
            </w:pPr>
            <w:r w:rsidRPr="00E56E55">
              <w:rPr>
                <w:sz w:val="20"/>
                <w:szCs w:val="20"/>
              </w:rPr>
              <w:t>Hexid A4</w:t>
            </w:r>
          </w:p>
        </w:tc>
      </w:tr>
      <w:tr w:rsidR="00A52E7B" w:rsidRPr="00E56E55" w14:paraId="6FDF4A1B" w14:textId="77777777" w:rsidTr="006904AC">
        <w:tc>
          <w:tcPr>
            <w:tcW w:w="495" w:type="dxa"/>
          </w:tcPr>
          <w:p w14:paraId="72047ABD" w14:textId="4079D93A" w:rsidR="00A52E7B" w:rsidRPr="00E56E55" w:rsidRDefault="00A52E7B" w:rsidP="00D50D88">
            <w:pPr>
              <w:rPr>
                <w:b/>
                <w:bCs/>
                <w:sz w:val="20"/>
                <w:szCs w:val="20"/>
              </w:rPr>
            </w:pPr>
            <w:r w:rsidRPr="00E56E55">
              <w:rPr>
                <w:b/>
                <w:bCs/>
                <w:sz w:val="20"/>
                <w:szCs w:val="20"/>
              </w:rPr>
              <w:t>1.2</w:t>
            </w:r>
          </w:p>
        </w:tc>
        <w:tc>
          <w:tcPr>
            <w:tcW w:w="3044" w:type="dxa"/>
          </w:tcPr>
          <w:p w14:paraId="30E59102" w14:textId="0EF34900" w:rsidR="00A52E7B" w:rsidRPr="00E56E55" w:rsidRDefault="00A52E7B" w:rsidP="00D50D88">
            <w:pPr>
              <w:rPr>
                <w:sz w:val="20"/>
                <w:szCs w:val="20"/>
              </w:rPr>
            </w:pPr>
            <w:r w:rsidRPr="00E56E55">
              <w:rPr>
                <w:b/>
                <w:sz w:val="20"/>
                <w:szCs w:val="20"/>
              </w:rPr>
              <w:t>Intended/Recommended Use</w:t>
            </w:r>
          </w:p>
        </w:tc>
        <w:tc>
          <w:tcPr>
            <w:tcW w:w="5477" w:type="dxa"/>
            <w:tcBorders>
              <w:top w:val="single" w:sz="4" w:space="0" w:color="auto"/>
              <w:bottom w:val="single" w:sz="4" w:space="0" w:color="auto"/>
            </w:tcBorders>
          </w:tcPr>
          <w:p w14:paraId="71F8C660" w14:textId="3D106552" w:rsidR="00A52E7B" w:rsidRPr="00E56E55" w:rsidRDefault="00A52E7B" w:rsidP="00D50D88">
            <w:pPr>
              <w:rPr>
                <w:sz w:val="20"/>
                <w:szCs w:val="20"/>
              </w:rPr>
            </w:pPr>
            <w:r w:rsidRPr="00E56E55">
              <w:rPr>
                <w:sz w:val="20"/>
                <w:szCs w:val="20"/>
              </w:rPr>
              <w:t>Heat Transfer Fluid</w:t>
            </w:r>
          </w:p>
        </w:tc>
      </w:tr>
      <w:tr w:rsidR="00A52E7B" w:rsidRPr="00E56E55" w14:paraId="68355901" w14:textId="77777777" w:rsidTr="006904AC">
        <w:tc>
          <w:tcPr>
            <w:tcW w:w="495" w:type="dxa"/>
          </w:tcPr>
          <w:p w14:paraId="642AEA1D" w14:textId="0CC1ABF1" w:rsidR="00A52E7B" w:rsidRPr="00E56E55" w:rsidRDefault="00A52E7B" w:rsidP="00D50D88">
            <w:pPr>
              <w:rPr>
                <w:b/>
                <w:bCs/>
                <w:sz w:val="20"/>
                <w:szCs w:val="20"/>
              </w:rPr>
            </w:pPr>
            <w:r w:rsidRPr="00E56E55">
              <w:rPr>
                <w:b/>
                <w:bCs/>
                <w:sz w:val="20"/>
                <w:szCs w:val="20"/>
              </w:rPr>
              <w:t>1.3</w:t>
            </w:r>
          </w:p>
        </w:tc>
        <w:tc>
          <w:tcPr>
            <w:tcW w:w="3044" w:type="dxa"/>
          </w:tcPr>
          <w:p w14:paraId="5D64418F" w14:textId="6B6A800D" w:rsidR="00A52E7B" w:rsidRPr="00E56E55" w:rsidRDefault="00A52E7B" w:rsidP="00D50D88">
            <w:pPr>
              <w:rPr>
                <w:sz w:val="20"/>
                <w:szCs w:val="20"/>
              </w:rPr>
            </w:pPr>
            <w:r w:rsidRPr="00E56E55">
              <w:rPr>
                <w:b/>
                <w:sz w:val="20"/>
                <w:szCs w:val="20"/>
              </w:rPr>
              <w:t>Manufacturer</w:t>
            </w:r>
          </w:p>
        </w:tc>
        <w:tc>
          <w:tcPr>
            <w:tcW w:w="5477" w:type="dxa"/>
            <w:tcBorders>
              <w:top w:val="single" w:sz="4" w:space="0" w:color="auto"/>
              <w:bottom w:val="single" w:sz="4" w:space="0" w:color="auto"/>
            </w:tcBorders>
          </w:tcPr>
          <w:p w14:paraId="2DFF849D" w14:textId="77777777" w:rsidR="00A52E7B" w:rsidRPr="00E56E55" w:rsidRDefault="00A52E7B" w:rsidP="00D50D88">
            <w:pPr>
              <w:rPr>
                <w:sz w:val="20"/>
                <w:szCs w:val="20"/>
              </w:rPr>
            </w:pPr>
            <w:r w:rsidRPr="00E56E55">
              <w:rPr>
                <w:sz w:val="20"/>
                <w:szCs w:val="20"/>
              </w:rPr>
              <w:t>Applied Thermal Control Limited</w:t>
            </w:r>
          </w:p>
          <w:p w14:paraId="37DE574C" w14:textId="77777777" w:rsidR="00A52E7B" w:rsidRPr="00E56E55" w:rsidRDefault="00A52E7B" w:rsidP="00A52E7B">
            <w:pPr>
              <w:pStyle w:val="NoSpacing"/>
              <w:rPr>
                <w:rFonts w:ascii="Asap" w:hAnsi="Asap"/>
                <w:sz w:val="20"/>
                <w:szCs w:val="20"/>
              </w:rPr>
            </w:pPr>
            <w:r w:rsidRPr="00E56E55">
              <w:rPr>
                <w:rFonts w:ascii="Asap" w:hAnsi="Asap"/>
                <w:sz w:val="20"/>
                <w:szCs w:val="20"/>
              </w:rPr>
              <w:t xml:space="preserve">39 </w:t>
            </w:r>
            <w:proofErr w:type="spellStart"/>
            <w:r w:rsidRPr="00E56E55">
              <w:rPr>
                <w:rFonts w:ascii="Asap" w:hAnsi="Asap"/>
                <w:sz w:val="20"/>
                <w:szCs w:val="20"/>
              </w:rPr>
              <w:t>Hayhill</w:t>
            </w:r>
            <w:proofErr w:type="spellEnd"/>
            <w:r w:rsidRPr="00E56E55">
              <w:rPr>
                <w:rFonts w:ascii="Asap" w:hAnsi="Asap"/>
                <w:sz w:val="20"/>
                <w:szCs w:val="20"/>
              </w:rPr>
              <w:t xml:space="preserve"> Industrial Estate, Barrow upon Soar, Leicestershire, LE12 8LD. United Kingdom.</w:t>
            </w:r>
          </w:p>
          <w:p w14:paraId="6A3401C9" w14:textId="540A869E" w:rsidR="00A52E7B" w:rsidRPr="00E56E55" w:rsidRDefault="00A52E7B" w:rsidP="00A52E7B">
            <w:pPr>
              <w:pStyle w:val="NoSpacing"/>
              <w:rPr>
                <w:rFonts w:ascii="Asap" w:hAnsi="Asap"/>
                <w:sz w:val="20"/>
                <w:szCs w:val="20"/>
              </w:rPr>
            </w:pPr>
            <w:hyperlink r:id="rId7" w:history="1">
              <w:r w:rsidRPr="00E56E55">
                <w:rPr>
                  <w:rStyle w:val="Hyperlink"/>
                  <w:rFonts w:ascii="Asap" w:hAnsi="Asap"/>
                  <w:sz w:val="20"/>
                  <w:szCs w:val="20"/>
                </w:rPr>
                <w:t>www.app-therm.com</w:t>
              </w:r>
            </w:hyperlink>
            <w:r w:rsidRPr="00E56E55">
              <w:rPr>
                <w:rFonts w:ascii="Asap" w:hAnsi="Asap"/>
                <w:sz w:val="20"/>
                <w:szCs w:val="20"/>
              </w:rPr>
              <w:t xml:space="preserve"> </w:t>
            </w:r>
          </w:p>
        </w:tc>
      </w:tr>
      <w:tr w:rsidR="00A52E7B" w:rsidRPr="00E56E55" w14:paraId="355528CC" w14:textId="77777777" w:rsidTr="006904AC">
        <w:tc>
          <w:tcPr>
            <w:tcW w:w="495" w:type="dxa"/>
          </w:tcPr>
          <w:p w14:paraId="17D0DC2A" w14:textId="47B6EC30" w:rsidR="00A52E7B" w:rsidRPr="00E56E55" w:rsidRDefault="00A52E7B" w:rsidP="00D50D88">
            <w:pPr>
              <w:rPr>
                <w:b/>
                <w:bCs/>
                <w:sz w:val="20"/>
                <w:szCs w:val="20"/>
              </w:rPr>
            </w:pPr>
            <w:r w:rsidRPr="00E56E55">
              <w:rPr>
                <w:b/>
                <w:bCs/>
                <w:sz w:val="20"/>
                <w:szCs w:val="20"/>
              </w:rPr>
              <w:t>1.4</w:t>
            </w:r>
          </w:p>
        </w:tc>
        <w:tc>
          <w:tcPr>
            <w:tcW w:w="3044" w:type="dxa"/>
          </w:tcPr>
          <w:p w14:paraId="429AEEA1" w14:textId="702FC063" w:rsidR="00A52E7B" w:rsidRPr="00E56E55" w:rsidRDefault="00A52E7B" w:rsidP="00D50D88">
            <w:pPr>
              <w:rPr>
                <w:sz w:val="20"/>
                <w:szCs w:val="20"/>
              </w:rPr>
            </w:pPr>
            <w:r w:rsidRPr="00E56E55">
              <w:rPr>
                <w:b/>
                <w:sz w:val="20"/>
                <w:szCs w:val="20"/>
              </w:rPr>
              <w:t>Emergency Telephone Number</w:t>
            </w:r>
          </w:p>
        </w:tc>
        <w:tc>
          <w:tcPr>
            <w:tcW w:w="5477" w:type="dxa"/>
            <w:tcBorders>
              <w:top w:val="single" w:sz="4" w:space="0" w:color="auto"/>
              <w:bottom w:val="single" w:sz="4" w:space="0" w:color="auto"/>
            </w:tcBorders>
          </w:tcPr>
          <w:p w14:paraId="4CC1793E" w14:textId="5254E357" w:rsidR="00A52E7B" w:rsidRPr="00E56E55" w:rsidRDefault="00A52E7B" w:rsidP="00A52E7B">
            <w:pPr>
              <w:pStyle w:val="NoSpacing"/>
              <w:rPr>
                <w:rFonts w:ascii="Asap" w:hAnsi="Asap"/>
                <w:b/>
                <w:sz w:val="20"/>
                <w:szCs w:val="20"/>
                <w:u w:val="single"/>
              </w:rPr>
            </w:pPr>
            <w:r w:rsidRPr="00E56E55">
              <w:rPr>
                <w:rFonts w:ascii="Asap" w:hAnsi="Asap"/>
                <w:sz w:val="20"/>
                <w:szCs w:val="20"/>
              </w:rPr>
              <w:t>+44(0)1530 839998</w:t>
            </w:r>
          </w:p>
        </w:tc>
      </w:tr>
      <w:tr w:rsidR="00A52E7B" w:rsidRPr="00E56E55" w14:paraId="192A7832" w14:textId="77777777" w:rsidTr="006904AC">
        <w:tc>
          <w:tcPr>
            <w:tcW w:w="495" w:type="dxa"/>
          </w:tcPr>
          <w:p w14:paraId="76DC1B31" w14:textId="4C97D575" w:rsidR="00A52E7B" w:rsidRPr="00E56E55" w:rsidRDefault="00A52E7B" w:rsidP="00D50D88">
            <w:pPr>
              <w:rPr>
                <w:b/>
                <w:bCs/>
                <w:sz w:val="20"/>
                <w:szCs w:val="20"/>
              </w:rPr>
            </w:pPr>
            <w:r w:rsidRPr="00E56E55">
              <w:rPr>
                <w:b/>
                <w:bCs/>
                <w:sz w:val="20"/>
                <w:szCs w:val="20"/>
              </w:rPr>
              <w:t>1.5</w:t>
            </w:r>
          </w:p>
        </w:tc>
        <w:tc>
          <w:tcPr>
            <w:tcW w:w="3044" w:type="dxa"/>
          </w:tcPr>
          <w:p w14:paraId="750C1A43" w14:textId="3EA0C773" w:rsidR="00A52E7B" w:rsidRPr="00E56E55" w:rsidRDefault="00A52E7B" w:rsidP="00D50D88">
            <w:pPr>
              <w:rPr>
                <w:sz w:val="20"/>
                <w:szCs w:val="20"/>
              </w:rPr>
            </w:pPr>
            <w:r w:rsidRPr="00E56E55">
              <w:rPr>
                <w:b/>
                <w:sz w:val="20"/>
                <w:szCs w:val="20"/>
              </w:rPr>
              <w:t>Email</w:t>
            </w:r>
          </w:p>
        </w:tc>
        <w:tc>
          <w:tcPr>
            <w:tcW w:w="5477" w:type="dxa"/>
            <w:tcBorders>
              <w:top w:val="single" w:sz="4" w:space="0" w:color="auto"/>
            </w:tcBorders>
          </w:tcPr>
          <w:p w14:paraId="6C587918" w14:textId="0F6D13F0" w:rsidR="00A52E7B" w:rsidRPr="00E56E55" w:rsidRDefault="00A52E7B" w:rsidP="00A52E7B">
            <w:pPr>
              <w:rPr>
                <w:sz w:val="20"/>
                <w:szCs w:val="20"/>
              </w:rPr>
            </w:pPr>
            <w:hyperlink r:id="rId8" w:history="1">
              <w:r w:rsidRPr="00E56E55">
                <w:rPr>
                  <w:rStyle w:val="Hyperlink"/>
                  <w:sz w:val="20"/>
                  <w:szCs w:val="20"/>
                </w:rPr>
                <w:t>sales@app-therm.com</w:t>
              </w:r>
            </w:hyperlink>
          </w:p>
        </w:tc>
      </w:tr>
    </w:tbl>
    <w:p w14:paraId="6F186816" w14:textId="77777777" w:rsidR="00A52E7B" w:rsidRPr="00E56E55" w:rsidRDefault="00A52E7B" w:rsidP="00D50D88">
      <w:pPr>
        <w:spacing w:after="0"/>
        <w:rPr>
          <w:sz w:val="20"/>
          <w:szCs w:val="20"/>
        </w:rPr>
      </w:pPr>
    </w:p>
    <w:p w14:paraId="613B0444" w14:textId="77777777" w:rsidR="00A52E7B" w:rsidRPr="00E56E55" w:rsidRDefault="00A52E7B" w:rsidP="00A52E7B">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2:  HAZARDS IDENTIFICATION</w:t>
      </w:r>
    </w:p>
    <w:p w14:paraId="0BDA3FED" w14:textId="77777777" w:rsidR="009B41EF" w:rsidRPr="00E56E55" w:rsidRDefault="009B41EF" w:rsidP="00D50D88">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044"/>
        <w:gridCol w:w="5477"/>
      </w:tblGrid>
      <w:tr w:rsidR="0044460A" w:rsidRPr="00E56E55" w14:paraId="25ECE389" w14:textId="77777777" w:rsidTr="00605261">
        <w:tc>
          <w:tcPr>
            <w:tcW w:w="495" w:type="dxa"/>
          </w:tcPr>
          <w:p w14:paraId="490B2117" w14:textId="08973837" w:rsidR="0044460A" w:rsidRPr="00E56E55" w:rsidRDefault="0044460A" w:rsidP="00605261">
            <w:pPr>
              <w:rPr>
                <w:b/>
                <w:bCs/>
                <w:sz w:val="20"/>
                <w:szCs w:val="20"/>
              </w:rPr>
            </w:pPr>
            <w:r w:rsidRPr="00E56E55">
              <w:rPr>
                <w:b/>
                <w:bCs/>
                <w:sz w:val="20"/>
                <w:szCs w:val="20"/>
              </w:rPr>
              <w:t>2.1</w:t>
            </w:r>
          </w:p>
        </w:tc>
        <w:tc>
          <w:tcPr>
            <w:tcW w:w="3044" w:type="dxa"/>
          </w:tcPr>
          <w:p w14:paraId="4B013DF4" w14:textId="03B2A2F0" w:rsidR="0044460A" w:rsidRPr="00E56E55" w:rsidRDefault="0044460A" w:rsidP="00605261">
            <w:pPr>
              <w:rPr>
                <w:sz w:val="20"/>
                <w:szCs w:val="20"/>
              </w:rPr>
            </w:pPr>
            <w:r w:rsidRPr="00E56E55">
              <w:rPr>
                <w:b/>
                <w:sz w:val="20"/>
                <w:szCs w:val="20"/>
              </w:rPr>
              <w:t>Classification of the substance or mixture</w:t>
            </w:r>
          </w:p>
        </w:tc>
        <w:tc>
          <w:tcPr>
            <w:tcW w:w="5477" w:type="dxa"/>
          </w:tcPr>
          <w:p w14:paraId="41CE6C2E" w14:textId="77777777"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The product is not classified as dangerous according to Regulation (EC) No. 1272/2008.</w:t>
            </w:r>
          </w:p>
          <w:p w14:paraId="2718E6C5" w14:textId="1E35A1B3"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This mixture is not classified as dangerous according to Directive 1999/45/EC.</w:t>
            </w:r>
          </w:p>
          <w:p w14:paraId="09B2A83D" w14:textId="48073EA0"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This mixture has no classification under CLP</w:t>
            </w:r>
          </w:p>
        </w:tc>
      </w:tr>
      <w:tr w:rsidR="0044460A" w:rsidRPr="00E56E55" w14:paraId="4B3D36F6" w14:textId="77777777" w:rsidTr="00605261">
        <w:tc>
          <w:tcPr>
            <w:tcW w:w="495" w:type="dxa"/>
          </w:tcPr>
          <w:p w14:paraId="0BE1BB2A" w14:textId="3F7E554E" w:rsidR="0044460A" w:rsidRPr="00E56E55" w:rsidRDefault="0044460A" w:rsidP="00605261">
            <w:pPr>
              <w:rPr>
                <w:b/>
                <w:bCs/>
                <w:sz w:val="20"/>
                <w:szCs w:val="20"/>
              </w:rPr>
            </w:pPr>
            <w:r w:rsidRPr="00E56E55">
              <w:rPr>
                <w:b/>
                <w:bCs/>
                <w:sz w:val="20"/>
                <w:szCs w:val="20"/>
              </w:rPr>
              <w:t>2.2</w:t>
            </w:r>
          </w:p>
        </w:tc>
        <w:tc>
          <w:tcPr>
            <w:tcW w:w="3044" w:type="dxa"/>
          </w:tcPr>
          <w:p w14:paraId="6DD5FD2B" w14:textId="4C0CFE41" w:rsidR="0044460A" w:rsidRPr="00E56E55" w:rsidRDefault="0044460A" w:rsidP="00E56E55">
            <w:pPr>
              <w:pStyle w:val="NoSpacing"/>
              <w:rPr>
                <w:rFonts w:ascii="Asap" w:hAnsi="Asap"/>
                <w:b/>
                <w:bCs/>
                <w:sz w:val="20"/>
                <w:szCs w:val="20"/>
              </w:rPr>
            </w:pPr>
            <w:r w:rsidRPr="00E56E55">
              <w:rPr>
                <w:rFonts w:ascii="Asap" w:hAnsi="Asap"/>
                <w:b/>
                <w:bCs/>
                <w:sz w:val="20"/>
                <w:szCs w:val="20"/>
              </w:rPr>
              <w:t xml:space="preserve">Label elements </w:t>
            </w:r>
          </w:p>
        </w:tc>
        <w:tc>
          <w:tcPr>
            <w:tcW w:w="5477" w:type="dxa"/>
          </w:tcPr>
          <w:p w14:paraId="7AEE4B21" w14:textId="77777777"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Label elements:</w:t>
            </w:r>
            <w:r w:rsidRPr="00E56E55">
              <w:rPr>
                <w:rFonts w:ascii="Asap" w:hAnsi="Asap"/>
                <w:sz w:val="20"/>
                <w:szCs w:val="20"/>
              </w:rPr>
              <w:tab/>
              <w:t xml:space="preserve"> This product has no label elements </w:t>
            </w:r>
          </w:p>
          <w:p w14:paraId="67F019AA" w14:textId="1985386F"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Signal Word: No signal word.</w:t>
            </w:r>
          </w:p>
          <w:p w14:paraId="01157E55" w14:textId="2A3ED2CE"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Hazard statements: No known significant effects or critical hazards.</w:t>
            </w:r>
          </w:p>
          <w:p w14:paraId="455E3C54" w14:textId="59E5BE89"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Precautionary statements: Prevention, Response, Storage or Disposal: Not applicable.</w:t>
            </w:r>
          </w:p>
        </w:tc>
      </w:tr>
      <w:tr w:rsidR="0044460A" w:rsidRPr="00E56E55" w14:paraId="0748D204" w14:textId="77777777" w:rsidTr="00605261">
        <w:tc>
          <w:tcPr>
            <w:tcW w:w="495" w:type="dxa"/>
          </w:tcPr>
          <w:p w14:paraId="06724A0C" w14:textId="3F44EEAE" w:rsidR="0044460A" w:rsidRPr="00E56E55" w:rsidRDefault="0044460A" w:rsidP="00605261">
            <w:pPr>
              <w:rPr>
                <w:b/>
                <w:bCs/>
                <w:sz w:val="20"/>
                <w:szCs w:val="20"/>
              </w:rPr>
            </w:pPr>
            <w:r w:rsidRPr="00E56E55">
              <w:rPr>
                <w:b/>
                <w:bCs/>
                <w:sz w:val="20"/>
                <w:szCs w:val="20"/>
              </w:rPr>
              <w:t>2.3</w:t>
            </w:r>
          </w:p>
        </w:tc>
        <w:tc>
          <w:tcPr>
            <w:tcW w:w="3044" w:type="dxa"/>
          </w:tcPr>
          <w:p w14:paraId="698F5731" w14:textId="78676A2E" w:rsidR="0044460A" w:rsidRPr="00E56E55" w:rsidRDefault="0044460A" w:rsidP="00605261">
            <w:pPr>
              <w:rPr>
                <w:sz w:val="20"/>
                <w:szCs w:val="20"/>
              </w:rPr>
            </w:pPr>
            <w:r w:rsidRPr="00E56E55">
              <w:rPr>
                <w:b/>
                <w:sz w:val="20"/>
                <w:szCs w:val="20"/>
              </w:rPr>
              <w:t>Other hazards</w:t>
            </w:r>
          </w:p>
        </w:tc>
        <w:tc>
          <w:tcPr>
            <w:tcW w:w="5477" w:type="dxa"/>
          </w:tcPr>
          <w:p w14:paraId="4176D7FD" w14:textId="2B60E719"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PBT: This product is not identified as a PBT/</w:t>
            </w:r>
            <w:proofErr w:type="spellStart"/>
            <w:r w:rsidRPr="00E56E55">
              <w:rPr>
                <w:rFonts w:ascii="Asap" w:hAnsi="Asap"/>
                <w:sz w:val="20"/>
                <w:szCs w:val="20"/>
              </w:rPr>
              <w:t>vPvB</w:t>
            </w:r>
            <w:proofErr w:type="spellEnd"/>
            <w:r w:rsidRPr="00E56E55">
              <w:rPr>
                <w:rFonts w:ascii="Asap" w:hAnsi="Asap"/>
                <w:sz w:val="20"/>
                <w:szCs w:val="20"/>
              </w:rPr>
              <w:t xml:space="preserve"> substance.</w:t>
            </w:r>
          </w:p>
        </w:tc>
      </w:tr>
    </w:tbl>
    <w:p w14:paraId="775FCFDB" w14:textId="77777777" w:rsidR="00A52E7B" w:rsidRPr="00E56E55" w:rsidRDefault="00A52E7B" w:rsidP="00D50D88">
      <w:pPr>
        <w:spacing w:after="0"/>
        <w:rPr>
          <w:sz w:val="20"/>
          <w:szCs w:val="20"/>
        </w:rPr>
      </w:pPr>
    </w:p>
    <w:p w14:paraId="3C0D9877" w14:textId="77777777" w:rsidR="0044460A" w:rsidRPr="00E56E55" w:rsidRDefault="0044460A" w:rsidP="0044460A">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3:  COMPOSITION/INFORMATION ON INGREDIENTS</w:t>
      </w:r>
    </w:p>
    <w:p w14:paraId="565FA953" w14:textId="77777777" w:rsidR="0044460A" w:rsidRPr="00E56E55" w:rsidRDefault="0044460A" w:rsidP="00D50D88">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044"/>
        <w:gridCol w:w="5477"/>
      </w:tblGrid>
      <w:tr w:rsidR="0044460A" w:rsidRPr="00E56E55" w14:paraId="465434CA" w14:textId="77777777" w:rsidTr="00605261">
        <w:tc>
          <w:tcPr>
            <w:tcW w:w="495" w:type="dxa"/>
          </w:tcPr>
          <w:p w14:paraId="722C8BD4" w14:textId="2C3F6C6B" w:rsidR="0044460A" w:rsidRPr="00E56E55" w:rsidRDefault="0044460A" w:rsidP="00605261">
            <w:pPr>
              <w:rPr>
                <w:b/>
                <w:bCs/>
                <w:sz w:val="20"/>
                <w:szCs w:val="20"/>
              </w:rPr>
            </w:pPr>
            <w:r w:rsidRPr="00E56E55">
              <w:rPr>
                <w:b/>
                <w:bCs/>
                <w:sz w:val="20"/>
                <w:szCs w:val="20"/>
              </w:rPr>
              <w:t>3.1</w:t>
            </w:r>
          </w:p>
        </w:tc>
        <w:tc>
          <w:tcPr>
            <w:tcW w:w="3044" w:type="dxa"/>
          </w:tcPr>
          <w:p w14:paraId="31FD3FF3" w14:textId="1FF1A78A" w:rsidR="0044460A" w:rsidRPr="00E56E55" w:rsidRDefault="0044460A" w:rsidP="00605261">
            <w:pPr>
              <w:rPr>
                <w:sz w:val="20"/>
                <w:szCs w:val="20"/>
              </w:rPr>
            </w:pPr>
            <w:r w:rsidRPr="00E56E55">
              <w:rPr>
                <w:b/>
                <w:sz w:val="20"/>
                <w:szCs w:val="20"/>
              </w:rPr>
              <w:t>Chemical Nature</w:t>
            </w:r>
          </w:p>
        </w:tc>
        <w:tc>
          <w:tcPr>
            <w:tcW w:w="5477" w:type="dxa"/>
          </w:tcPr>
          <w:p w14:paraId="166D1FF6" w14:textId="77777777" w:rsidR="0044460A" w:rsidRPr="00E56E55" w:rsidRDefault="0044460A" w:rsidP="0044460A">
            <w:pPr>
              <w:pStyle w:val="NoSpacing"/>
              <w:pBdr>
                <w:top w:val="single" w:sz="4" w:space="1" w:color="auto"/>
              </w:pBdr>
              <w:rPr>
                <w:rFonts w:ascii="Asap" w:hAnsi="Asap"/>
                <w:sz w:val="20"/>
                <w:szCs w:val="20"/>
              </w:rPr>
            </w:pPr>
            <w:proofErr w:type="gramStart"/>
            <w:r w:rsidRPr="00E56E55">
              <w:rPr>
                <w:rFonts w:ascii="Asap" w:hAnsi="Asap"/>
                <w:sz w:val="20"/>
                <w:szCs w:val="20"/>
              </w:rPr>
              <w:t>Water (CAS 7732-18-5),</w:t>
            </w:r>
            <w:proofErr w:type="gramEnd"/>
            <w:r w:rsidRPr="00E56E55">
              <w:rPr>
                <w:rFonts w:ascii="Asap" w:hAnsi="Asap"/>
                <w:sz w:val="20"/>
                <w:szCs w:val="20"/>
              </w:rPr>
              <w:t xml:space="preserve"> not classified.</w:t>
            </w:r>
          </w:p>
          <w:p w14:paraId="431C82F6" w14:textId="21E62D86"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Propylene glycol (CAS 57-55-6) (REACH 01-2119456809-23)</w:t>
            </w:r>
          </w:p>
          <w:p w14:paraId="37D8F999" w14:textId="66B8E252" w:rsidR="0044460A" w:rsidRPr="00E56E55" w:rsidRDefault="0044460A" w:rsidP="0044460A">
            <w:pPr>
              <w:pStyle w:val="NoSpacing"/>
              <w:pBdr>
                <w:top w:val="single" w:sz="4" w:space="1" w:color="auto"/>
              </w:pBdr>
              <w:rPr>
                <w:rFonts w:ascii="Asap" w:hAnsi="Asap"/>
                <w:sz w:val="20"/>
                <w:szCs w:val="20"/>
              </w:rPr>
            </w:pPr>
            <w:r w:rsidRPr="00E56E55">
              <w:rPr>
                <w:rFonts w:ascii="Asap" w:hAnsi="Asap"/>
                <w:sz w:val="20"/>
                <w:szCs w:val="20"/>
              </w:rPr>
              <w:t>(EINECS 200-338-0) not classified.</w:t>
            </w:r>
          </w:p>
          <w:p w14:paraId="282248EB" w14:textId="25B91085" w:rsidR="0044460A" w:rsidRPr="00E56E55" w:rsidRDefault="0044460A" w:rsidP="00605261">
            <w:pPr>
              <w:pStyle w:val="NoSpacing"/>
              <w:pBdr>
                <w:top w:val="single" w:sz="4" w:space="1" w:color="auto"/>
              </w:pBdr>
              <w:rPr>
                <w:rFonts w:ascii="Asap" w:hAnsi="Asap"/>
                <w:sz w:val="20"/>
                <w:szCs w:val="20"/>
              </w:rPr>
            </w:pPr>
            <w:r w:rsidRPr="00E56E55">
              <w:rPr>
                <w:rFonts w:ascii="Asap" w:hAnsi="Asap"/>
                <w:sz w:val="20"/>
                <w:szCs w:val="20"/>
              </w:rPr>
              <w:t>Fluorescein (trace) and biocide (trace) not classified.</w:t>
            </w:r>
          </w:p>
        </w:tc>
      </w:tr>
      <w:tr w:rsidR="0044460A" w:rsidRPr="00E56E55" w14:paraId="020807B0" w14:textId="77777777" w:rsidTr="00605261">
        <w:tc>
          <w:tcPr>
            <w:tcW w:w="495" w:type="dxa"/>
          </w:tcPr>
          <w:p w14:paraId="277A116C" w14:textId="46DE585C" w:rsidR="0044460A" w:rsidRPr="00E56E55" w:rsidRDefault="0044460A" w:rsidP="00605261">
            <w:pPr>
              <w:rPr>
                <w:b/>
                <w:bCs/>
                <w:sz w:val="20"/>
                <w:szCs w:val="20"/>
              </w:rPr>
            </w:pPr>
            <w:r w:rsidRPr="00E56E55">
              <w:rPr>
                <w:b/>
                <w:bCs/>
                <w:sz w:val="20"/>
                <w:szCs w:val="20"/>
              </w:rPr>
              <w:t>3.2</w:t>
            </w:r>
          </w:p>
        </w:tc>
        <w:tc>
          <w:tcPr>
            <w:tcW w:w="3044" w:type="dxa"/>
          </w:tcPr>
          <w:p w14:paraId="10FB2AEA" w14:textId="5045ACE3" w:rsidR="0044460A" w:rsidRPr="00E56E55" w:rsidRDefault="0044460A" w:rsidP="00E56E55">
            <w:pPr>
              <w:pStyle w:val="NoSpacing"/>
              <w:rPr>
                <w:rFonts w:ascii="Asap" w:hAnsi="Asap"/>
                <w:b/>
                <w:bCs/>
                <w:sz w:val="20"/>
                <w:szCs w:val="20"/>
              </w:rPr>
            </w:pPr>
            <w:r w:rsidRPr="00E56E55">
              <w:rPr>
                <w:rFonts w:ascii="Asap" w:hAnsi="Asap"/>
                <w:b/>
                <w:bCs/>
                <w:sz w:val="20"/>
                <w:szCs w:val="20"/>
              </w:rPr>
              <w:t>Food Grade</w:t>
            </w:r>
          </w:p>
        </w:tc>
        <w:tc>
          <w:tcPr>
            <w:tcW w:w="5477" w:type="dxa"/>
          </w:tcPr>
          <w:p w14:paraId="486FBF3B" w14:textId="2F432B20" w:rsidR="0044460A" w:rsidRPr="00E56E55" w:rsidRDefault="0044460A" w:rsidP="00605261">
            <w:pPr>
              <w:pStyle w:val="NoSpacing"/>
              <w:pBdr>
                <w:top w:val="single" w:sz="4" w:space="1" w:color="auto"/>
              </w:pBdr>
              <w:rPr>
                <w:rFonts w:ascii="Asap" w:hAnsi="Asap"/>
                <w:sz w:val="20"/>
                <w:szCs w:val="20"/>
              </w:rPr>
            </w:pPr>
            <w:r w:rsidRPr="00E56E55">
              <w:rPr>
                <w:rFonts w:ascii="Asap" w:hAnsi="Asap"/>
                <w:sz w:val="20"/>
                <w:szCs w:val="20"/>
              </w:rPr>
              <w:t>Food Grade</w:t>
            </w:r>
          </w:p>
        </w:tc>
      </w:tr>
    </w:tbl>
    <w:p w14:paraId="1DB8904D" w14:textId="77777777" w:rsidR="0044460A" w:rsidRPr="00E56E55" w:rsidRDefault="0044460A" w:rsidP="00D50D88">
      <w:pPr>
        <w:spacing w:after="0"/>
        <w:rPr>
          <w:sz w:val="20"/>
          <w:szCs w:val="20"/>
        </w:rPr>
      </w:pPr>
    </w:p>
    <w:p w14:paraId="1476ABC8" w14:textId="77777777" w:rsidR="0044460A" w:rsidRPr="00E56E55" w:rsidRDefault="0044460A" w:rsidP="0044460A">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4:  FIRST AID MEASURES</w:t>
      </w:r>
    </w:p>
    <w:p w14:paraId="0DE87277" w14:textId="77777777" w:rsidR="0044460A" w:rsidRPr="00E56E55" w:rsidRDefault="0044460A" w:rsidP="00D50D88">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044"/>
        <w:gridCol w:w="5477"/>
      </w:tblGrid>
      <w:tr w:rsidR="0044460A" w:rsidRPr="00E56E55" w14:paraId="3FF48625" w14:textId="77777777" w:rsidTr="00E56E55">
        <w:tc>
          <w:tcPr>
            <w:tcW w:w="495" w:type="dxa"/>
          </w:tcPr>
          <w:p w14:paraId="770BDDDC" w14:textId="23D802F1" w:rsidR="0044460A" w:rsidRPr="00E56E55" w:rsidRDefault="0044460A" w:rsidP="00605261">
            <w:pPr>
              <w:rPr>
                <w:b/>
                <w:bCs/>
                <w:sz w:val="20"/>
                <w:szCs w:val="20"/>
              </w:rPr>
            </w:pPr>
          </w:p>
        </w:tc>
        <w:tc>
          <w:tcPr>
            <w:tcW w:w="3044" w:type="dxa"/>
          </w:tcPr>
          <w:p w14:paraId="1D4B3031" w14:textId="2FB93137" w:rsidR="0044460A" w:rsidRPr="00E56E55" w:rsidRDefault="0044460A" w:rsidP="00605261">
            <w:pPr>
              <w:rPr>
                <w:sz w:val="20"/>
                <w:szCs w:val="20"/>
              </w:rPr>
            </w:pPr>
            <w:r w:rsidRPr="00E56E55">
              <w:rPr>
                <w:b/>
                <w:sz w:val="20"/>
                <w:szCs w:val="20"/>
              </w:rPr>
              <w:t>General advice</w:t>
            </w:r>
          </w:p>
        </w:tc>
        <w:tc>
          <w:tcPr>
            <w:tcW w:w="5477" w:type="dxa"/>
            <w:tcBorders>
              <w:bottom w:val="single" w:sz="4" w:space="0" w:color="auto"/>
            </w:tcBorders>
          </w:tcPr>
          <w:p w14:paraId="2F4688A2" w14:textId="3795E516" w:rsidR="0044460A" w:rsidRPr="00E56E55" w:rsidRDefault="0044460A" w:rsidP="00605261">
            <w:pPr>
              <w:pStyle w:val="NoSpacing"/>
              <w:pBdr>
                <w:top w:val="single" w:sz="4" w:space="1" w:color="auto"/>
              </w:pBdr>
              <w:rPr>
                <w:rFonts w:ascii="Asap" w:hAnsi="Asap"/>
                <w:sz w:val="20"/>
                <w:szCs w:val="20"/>
              </w:rPr>
            </w:pPr>
            <w:r w:rsidRPr="00E56E55">
              <w:rPr>
                <w:rFonts w:ascii="Asap" w:hAnsi="Asap"/>
                <w:sz w:val="20"/>
                <w:szCs w:val="20"/>
              </w:rPr>
              <w:t>No special precautions required.  Treat symptomatically.</w:t>
            </w:r>
          </w:p>
        </w:tc>
      </w:tr>
      <w:tr w:rsidR="0044460A" w:rsidRPr="00E56E55" w14:paraId="5F3A83A7" w14:textId="77777777" w:rsidTr="00E56E55">
        <w:tc>
          <w:tcPr>
            <w:tcW w:w="495" w:type="dxa"/>
          </w:tcPr>
          <w:p w14:paraId="22CB045F" w14:textId="57BBE252" w:rsidR="0044460A" w:rsidRPr="00E56E55" w:rsidRDefault="0044460A" w:rsidP="00605261">
            <w:pPr>
              <w:rPr>
                <w:b/>
                <w:bCs/>
                <w:sz w:val="20"/>
                <w:szCs w:val="20"/>
              </w:rPr>
            </w:pPr>
            <w:r w:rsidRPr="00E56E55">
              <w:rPr>
                <w:b/>
                <w:bCs/>
                <w:sz w:val="20"/>
                <w:szCs w:val="20"/>
              </w:rPr>
              <w:t>4.1</w:t>
            </w:r>
          </w:p>
        </w:tc>
        <w:tc>
          <w:tcPr>
            <w:tcW w:w="3044" w:type="dxa"/>
          </w:tcPr>
          <w:p w14:paraId="61737C90" w14:textId="27A6D947" w:rsidR="0044460A" w:rsidRPr="00E56E55" w:rsidRDefault="0044460A" w:rsidP="00E56E55">
            <w:pPr>
              <w:pStyle w:val="NoSpacing"/>
              <w:rPr>
                <w:rFonts w:ascii="Asap" w:hAnsi="Asap"/>
                <w:b/>
                <w:bCs/>
                <w:sz w:val="20"/>
                <w:szCs w:val="20"/>
              </w:rPr>
            </w:pPr>
            <w:r w:rsidRPr="00E56E55">
              <w:rPr>
                <w:rFonts w:ascii="Asap" w:hAnsi="Asap"/>
                <w:b/>
                <w:bCs/>
                <w:sz w:val="20"/>
                <w:szCs w:val="20"/>
              </w:rPr>
              <w:t>Eye Contact</w:t>
            </w:r>
          </w:p>
        </w:tc>
        <w:tc>
          <w:tcPr>
            <w:tcW w:w="5477" w:type="dxa"/>
            <w:tcBorders>
              <w:top w:val="single" w:sz="4" w:space="0" w:color="auto"/>
            </w:tcBorders>
          </w:tcPr>
          <w:p w14:paraId="267E882A" w14:textId="0755B7AC" w:rsidR="0044460A" w:rsidRPr="00E56E55" w:rsidRDefault="0044460A" w:rsidP="0044460A">
            <w:pPr>
              <w:rPr>
                <w:sz w:val="20"/>
                <w:szCs w:val="20"/>
              </w:rPr>
            </w:pPr>
            <w:r w:rsidRPr="00E56E55">
              <w:rPr>
                <w:sz w:val="20"/>
                <w:szCs w:val="20"/>
              </w:rPr>
              <w:t>Rinse thoroughly with plenty of water, also under the eyelids. Remove contact lenses after a few minutes and continue rinsing. If symptoms persist, call a physician.</w:t>
            </w:r>
          </w:p>
        </w:tc>
      </w:tr>
      <w:tr w:rsidR="0044460A" w:rsidRPr="00E56E55" w14:paraId="325C8E9E" w14:textId="77777777" w:rsidTr="00605261">
        <w:tc>
          <w:tcPr>
            <w:tcW w:w="495" w:type="dxa"/>
          </w:tcPr>
          <w:p w14:paraId="62D99A0C" w14:textId="4E341E18" w:rsidR="0044460A" w:rsidRPr="00E56E55" w:rsidRDefault="0044460A" w:rsidP="00605261">
            <w:pPr>
              <w:rPr>
                <w:b/>
                <w:bCs/>
                <w:sz w:val="20"/>
                <w:szCs w:val="20"/>
              </w:rPr>
            </w:pPr>
            <w:r w:rsidRPr="00E56E55">
              <w:rPr>
                <w:b/>
                <w:bCs/>
                <w:sz w:val="20"/>
                <w:szCs w:val="20"/>
              </w:rPr>
              <w:t>4.2</w:t>
            </w:r>
          </w:p>
        </w:tc>
        <w:tc>
          <w:tcPr>
            <w:tcW w:w="3044" w:type="dxa"/>
          </w:tcPr>
          <w:p w14:paraId="50F7AC47" w14:textId="0B11D3EE" w:rsidR="0044460A" w:rsidRPr="00E56E55" w:rsidRDefault="0044460A" w:rsidP="00605261">
            <w:pPr>
              <w:rPr>
                <w:sz w:val="20"/>
                <w:szCs w:val="20"/>
              </w:rPr>
            </w:pPr>
            <w:r w:rsidRPr="00E56E55">
              <w:rPr>
                <w:b/>
                <w:sz w:val="20"/>
                <w:szCs w:val="20"/>
              </w:rPr>
              <w:t>Skin Contact</w:t>
            </w:r>
          </w:p>
        </w:tc>
        <w:tc>
          <w:tcPr>
            <w:tcW w:w="5477" w:type="dxa"/>
          </w:tcPr>
          <w:p w14:paraId="48990B8A" w14:textId="3E5FB290" w:rsidR="0044460A" w:rsidRPr="00E56E55" w:rsidRDefault="0044460A" w:rsidP="00605261">
            <w:pPr>
              <w:pStyle w:val="NoSpacing"/>
              <w:pBdr>
                <w:top w:val="single" w:sz="4" w:space="1" w:color="auto"/>
              </w:pBdr>
              <w:rPr>
                <w:rFonts w:ascii="Asap" w:hAnsi="Asap"/>
                <w:sz w:val="20"/>
                <w:szCs w:val="20"/>
              </w:rPr>
            </w:pPr>
            <w:r w:rsidRPr="00E56E55">
              <w:rPr>
                <w:rFonts w:ascii="Asap" w:hAnsi="Asap"/>
                <w:sz w:val="20"/>
                <w:szCs w:val="20"/>
              </w:rPr>
              <w:t>Wash off immediately with plenty of water. If skin irritation persists, call a physician.</w:t>
            </w:r>
          </w:p>
        </w:tc>
      </w:tr>
      <w:tr w:rsidR="0044460A" w:rsidRPr="00E56E55" w14:paraId="0FDDED78" w14:textId="77777777" w:rsidTr="00605261">
        <w:tc>
          <w:tcPr>
            <w:tcW w:w="495" w:type="dxa"/>
          </w:tcPr>
          <w:p w14:paraId="7EE59FE0" w14:textId="76BE738E" w:rsidR="0044460A" w:rsidRPr="00E56E55" w:rsidRDefault="0044460A" w:rsidP="00605261">
            <w:pPr>
              <w:rPr>
                <w:b/>
                <w:bCs/>
                <w:sz w:val="20"/>
                <w:szCs w:val="20"/>
              </w:rPr>
            </w:pPr>
            <w:r w:rsidRPr="00E56E55">
              <w:rPr>
                <w:b/>
                <w:bCs/>
                <w:sz w:val="20"/>
                <w:szCs w:val="20"/>
              </w:rPr>
              <w:t>4.3</w:t>
            </w:r>
          </w:p>
        </w:tc>
        <w:tc>
          <w:tcPr>
            <w:tcW w:w="3044" w:type="dxa"/>
          </w:tcPr>
          <w:p w14:paraId="4A334D75" w14:textId="4A6C07E7" w:rsidR="0044460A" w:rsidRPr="00E56E55" w:rsidRDefault="0044460A" w:rsidP="00605261">
            <w:pPr>
              <w:rPr>
                <w:b/>
                <w:sz w:val="20"/>
                <w:szCs w:val="20"/>
              </w:rPr>
            </w:pPr>
            <w:r w:rsidRPr="00E56E55">
              <w:rPr>
                <w:b/>
                <w:sz w:val="20"/>
                <w:szCs w:val="20"/>
              </w:rPr>
              <w:t>Inhalation</w:t>
            </w:r>
          </w:p>
        </w:tc>
        <w:tc>
          <w:tcPr>
            <w:tcW w:w="5477" w:type="dxa"/>
          </w:tcPr>
          <w:p w14:paraId="2D2F6FBA" w14:textId="0EF9F6F1" w:rsidR="0044460A" w:rsidRPr="00E56E55" w:rsidRDefault="0044460A" w:rsidP="00605261">
            <w:pPr>
              <w:pStyle w:val="NoSpacing"/>
              <w:pBdr>
                <w:top w:val="single" w:sz="4" w:space="1" w:color="auto"/>
              </w:pBdr>
              <w:rPr>
                <w:rFonts w:ascii="Asap" w:hAnsi="Asap"/>
                <w:sz w:val="20"/>
                <w:szCs w:val="20"/>
              </w:rPr>
            </w:pPr>
            <w:r w:rsidRPr="00E56E55">
              <w:rPr>
                <w:rFonts w:ascii="Asap" w:hAnsi="Asap"/>
                <w:sz w:val="20"/>
                <w:szCs w:val="20"/>
              </w:rPr>
              <w:t>Remove to fresh air. If symptoms persist, call a physician.</w:t>
            </w:r>
          </w:p>
        </w:tc>
      </w:tr>
      <w:tr w:rsidR="0044460A" w:rsidRPr="00E56E55" w14:paraId="20C4F3D7" w14:textId="77777777" w:rsidTr="00605261">
        <w:tc>
          <w:tcPr>
            <w:tcW w:w="495" w:type="dxa"/>
          </w:tcPr>
          <w:p w14:paraId="72207A6D" w14:textId="0A0F05EA" w:rsidR="0044460A" w:rsidRPr="00E56E55" w:rsidRDefault="0044460A" w:rsidP="00605261">
            <w:pPr>
              <w:rPr>
                <w:b/>
                <w:bCs/>
                <w:sz w:val="20"/>
                <w:szCs w:val="20"/>
              </w:rPr>
            </w:pPr>
            <w:r w:rsidRPr="00E56E55">
              <w:rPr>
                <w:b/>
                <w:bCs/>
                <w:sz w:val="20"/>
                <w:szCs w:val="20"/>
              </w:rPr>
              <w:t>4.4</w:t>
            </w:r>
          </w:p>
        </w:tc>
        <w:tc>
          <w:tcPr>
            <w:tcW w:w="3044" w:type="dxa"/>
          </w:tcPr>
          <w:p w14:paraId="63059A16" w14:textId="7604E1FA" w:rsidR="0044460A" w:rsidRPr="00E56E55" w:rsidRDefault="0044460A" w:rsidP="00605261">
            <w:pPr>
              <w:rPr>
                <w:b/>
                <w:sz w:val="20"/>
                <w:szCs w:val="20"/>
              </w:rPr>
            </w:pPr>
            <w:r w:rsidRPr="00E56E55">
              <w:rPr>
                <w:b/>
                <w:sz w:val="20"/>
                <w:szCs w:val="20"/>
              </w:rPr>
              <w:t>Ingestion</w:t>
            </w:r>
          </w:p>
        </w:tc>
        <w:tc>
          <w:tcPr>
            <w:tcW w:w="5477" w:type="dxa"/>
          </w:tcPr>
          <w:p w14:paraId="68F52CCF" w14:textId="2FD00391" w:rsidR="0044460A" w:rsidRPr="00E56E55" w:rsidRDefault="0044460A" w:rsidP="00605261">
            <w:pPr>
              <w:pStyle w:val="NoSpacing"/>
              <w:pBdr>
                <w:top w:val="single" w:sz="4" w:space="1" w:color="auto"/>
              </w:pBdr>
              <w:rPr>
                <w:rFonts w:ascii="Asap" w:hAnsi="Asap"/>
                <w:sz w:val="20"/>
                <w:szCs w:val="20"/>
              </w:rPr>
            </w:pPr>
            <w:r w:rsidRPr="00E56E55">
              <w:rPr>
                <w:rFonts w:ascii="Asap" w:hAnsi="Asap"/>
                <w:sz w:val="20"/>
                <w:szCs w:val="20"/>
              </w:rPr>
              <w:t>Rinse mouth with water. Never give anything by mouth to an unconscious person. If symptoms persist, call a physician.</w:t>
            </w:r>
          </w:p>
        </w:tc>
      </w:tr>
    </w:tbl>
    <w:p w14:paraId="13A6E468" w14:textId="1BD597B7" w:rsidR="00151D01" w:rsidRPr="00E56E55" w:rsidRDefault="00151D01" w:rsidP="00D50D88">
      <w:pPr>
        <w:spacing w:after="0"/>
        <w:rPr>
          <w:sz w:val="20"/>
          <w:szCs w:val="20"/>
        </w:rPr>
      </w:pPr>
    </w:p>
    <w:p w14:paraId="6C2A0452" w14:textId="77777777" w:rsidR="00151D01" w:rsidRPr="00E56E55" w:rsidRDefault="00151D01">
      <w:pPr>
        <w:rPr>
          <w:sz w:val="20"/>
          <w:szCs w:val="20"/>
        </w:rPr>
      </w:pPr>
      <w:r w:rsidRPr="00E56E55">
        <w:rPr>
          <w:sz w:val="20"/>
          <w:szCs w:val="20"/>
        </w:rPr>
        <w:br w:type="page"/>
      </w:r>
    </w:p>
    <w:p w14:paraId="523E7BD2" w14:textId="6E2644BB" w:rsidR="00541DD9" w:rsidRPr="00E56E55" w:rsidRDefault="00541DD9" w:rsidP="00541DD9">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lastRenderedPageBreak/>
        <w:t>SECTION 5:  FIREFIGHTING MEASURES</w:t>
      </w:r>
    </w:p>
    <w:p w14:paraId="4220FDFB" w14:textId="77777777" w:rsidR="00541DD9" w:rsidRPr="00E56E55" w:rsidRDefault="00541DD9" w:rsidP="00541DD9">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044"/>
        <w:gridCol w:w="5477"/>
      </w:tblGrid>
      <w:tr w:rsidR="00541DD9" w:rsidRPr="00E56E55" w14:paraId="1AF72C25" w14:textId="77777777" w:rsidTr="00E56E55">
        <w:tc>
          <w:tcPr>
            <w:tcW w:w="495" w:type="dxa"/>
          </w:tcPr>
          <w:p w14:paraId="06BC6618" w14:textId="3AC201A8" w:rsidR="00541DD9" w:rsidRPr="00E56E55" w:rsidRDefault="00541DD9" w:rsidP="00541DD9">
            <w:pPr>
              <w:rPr>
                <w:b/>
                <w:bCs/>
                <w:sz w:val="20"/>
                <w:szCs w:val="20"/>
              </w:rPr>
            </w:pPr>
            <w:r w:rsidRPr="00E56E55">
              <w:rPr>
                <w:b/>
                <w:bCs/>
                <w:sz w:val="20"/>
                <w:szCs w:val="20"/>
              </w:rPr>
              <w:t>5.1</w:t>
            </w:r>
          </w:p>
        </w:tc>
        <w:tc>
          <w:tcPr>
            <w:tcW w:w="3044" w:type="dxa"/>
          </w:tcPr>
          <w:p w14:paraId="04A56D61" w14:textId="378803FB" w:rsidR="00541DD9" w:rsidRPr="00E56E55" w:rsidRDefault="00541DD9" w:rsidP="00541DD9">
            <w:pPr>
              <w:rPr>
                <w:sz w:val="20"/>
                <w:szCs w:val="20"/>
              </w:rPr>
            </w:pPr>
            <w:r w:rsidRPr="00E56E55">
              <w:rPr>
                <w:b/>
                <w:sz w:val="20"/>
                <w:szCs w:val="20"/>
              </w:rPr>
              <w:t>Extinguishing media</w:t>
            </w:r>
          </w:p>
        </w:tc>
        <w:tc>
          <w:tcPr>
            <w:tcW w:w="5477" w:type="dxa"/>
            <w:tcBorders>
              <w:top w:val="single" w:sz="4" w:space="0" w:color="auto"/>
              <w:bottom w:val="single" w:sz="4" w:space="0" w:color="auto"/>
            </w:tcBorders>
          </w:tcPr>
          <w:p w14:paraId="3850ED68" w14:textId="77777777" w:rsidR="00541DD9" w:rsidRPr="00E56E55" w:rsidRDefault="00541DD9" w:rsidP="00541DD9">
            <w:pPr>
              <w:rPr>
                <w:sz w:val="20"/>
                <w:szCs w:val="20"/>
              </w:rPr>
            </w:pPr>
            <w:r w:rsidRPr="00E56E55">
              <w:rPr>
                <w:sz w:val="20"/>
                <w:szCs w:val="20"/>
              </w:rPr>
              <w:t xml:space="preserve">Use extinguishing measures that are appropriate to local circumstances and the surrounding environment. </w:t>
            </w:r>
          </w:p>
          <w:p w14:paraId="5961E0BA" w14:textId="13B0906A" w:rsidR="00541DD9" w:rsidRPr="00E56E55" w:rsidRDefault="00541DD9" w:rsidP="00541DD9">
            <w:pPr>
              <w:rPr>
                <w:sz w:val="20"/>
                <w:szCs w:val="20"/>
              </w:rPr>
            </w:pPr>
            <w:r w:rsidRPr="00E56E55">
              <w:rPr>
                <w:sz w:val="20"/>
                <w:szCs w:val="20"/>
              </w:rPr>
              <w:t>Water spray, foam, dry powder or CO2. Alcohol-resistant foam</w:t>
            </w:r>
          </w:p>
        </w:tc>
      </w:tr>
      <w:tr w:rsidR="00541DD9" w:rsidRPr="00E56E55" w14:paraId="41FB9EAB" w14:textId="77777777" w:rsidTr="00E56E55">
        <w:tc>
          <w:tcPr>
            <w:tcW w:w="495" w:type="dxa"/>
          </w:tcPr>
          <w:p w14:paraId="1765427D" w14:textId="76893957" w:rsidR="00541DD9" w:rsidRPr="00E56E55" w:rsidRDefault="00541DD9" w:rsidP="00541DD9">
            <w:pPr>
              <w:rPr>
                <w:b/>
                <w:bCs/>
                <w:sz w:val="20"/>
                <w:szCs w:val="20"/>
              </w:rPr>
            </w:pPr>
            <w:r w:rsidRPr="00E56E55">
              <w:rPr>
                <w:b/>
                <w:bCs/>
                <w:sz w:val="20"/>
                <w:szCs w:val="20"/>
              </w:rPr>
              <w:t>5.2</w:t>
            </w:r>
          </w:p>
        </w:tc>
        <w:tc>
          <w:tcPr>
            <w:tcW w:w="3044" w:type="dxa"/>
          </w:tcPr>
          <w:p w14:paraId="22B46DFC" w14:textId="37262FD4" w:rsidR="00541DD9" w:rsidRPr="00E56E55" w:rsidRDefault="00541DD9" w:rsidP="00541DD9">
            <w:pPr>
              <w:rPr>
                <w:sz w:val="20"/>
                <w:szCs w:val="20"/>
              </w:rPr>
            </w:pPr>
            <w:r w:rsidRPr="00E56E55">
              <w:rPr>
                <w:b/>
                <w:sz w:val="20"/>
                <w:szCs w:val="20"/>
              </w:rPr>
              <w:t xml:space="preserve">Unsuitable extinguishing Media </w:t>
            </w:r>
          </w:p>
        </w:tc>
        <w:tc>
          <w:tcPr>
            <w:tcW w:w="5477" w:type="dxa"/>
            <w:tcBorders>
              <w:top w:val="single" w:sz="4" w:space="0" w:color="auto"/>
              <w:bottom w:val="single" w:sz="4" w:space="0" w:color="auto"/>
            </w:tcBorders>
          </w:tcPr>
          <w:p w14:paraId="7EEC1557" w14:textId="27AD59EF" w:rsidR="00541DD9" w:rsidRPr="00E56E55" w:rsidRDefault="00541DD9" w:rsidP="00541DD9">
            <w:pPr>
              <w:rPr>
                <w:sz w:val="20"/>
                <w:szCs w:val="20"/>
              </w:rPr>
            </w:pPr>
            <w:r w:rsidRPr="00E56E55">
              <w:rPr>
                <w:sz w:val="20"/>
                <w:szCs w:val="20"/>
              </w:rPr>
              <w:t>High volume water jet. Do not use a solid water stream as it may scatter and spread fire.</w:t>
            </w:r>
          </w:p>
        </w:tc>
      </w:tr>
      <w:tr w:rsidR="00541DD9" w:rsidRPr="00E56E55" w14:paraId="2EFE9059" w14:textId="77777777" w:rsidTr="00E56E55">
        <w:tc>
          <w:tcPr>
            <w:tcW w:w="495" w:type="dxa"/>
          </w:tcPr>
          <w:p w14:paraId="6D02EDE5" w14:textId="38624DAC" w:rsidR="00541DD9" w:rsidRPr="00E56E55" w:rsidRDefault="00541DD9" w:rsidP="00541DD9">
            <w:pPr>
              <w:rPr>
                <w:b/>
                <w:bCs/>
                <w:sz w:val="20"/>
                <w:szCs w:val="20"/>
              </w:rPr>
            </w:pPr>
            <w:r w:rsidRPr="00E56E55">
              <w:rPr>
                <w:b/>
                <w:bCs/>
                <w:sz w:val="20"/>
                <w:szCs w:val="20"/>
              </w:rPr>
              <w:t>5.3</w:t>
            </w:r>
          </w:p>
        </w:tc>
        <w:tc>
          <w:tcPr>
            <w:tcW w:w="3044" w:type="dxa"/>
          </w:tcPr>
          <w:p w14:paraId="246D59FD" w14:textId="7C22D6C4" w:rsidR="00541DD9" w:rsidRPr="00E56E55" w:rsidRDefault="00541DD9" w:rsidP="00541DD9">
            <w:pPr>
              <w:rPr>
                <w:sz w:val="20"/>
                <w:szCs w:val="20"/>
              </w:rPr>
            </w:pPr>
            <w:r w:rsidRPr="00E56E55">
              <w:rPr>
                <w:b/>
                <w:sz w:val="20"/>
                <w:szCs w:val="20"/>
              </w:rPr>
              <w:t>Specific hazards during firefighting</w:t>
            </w:r>
            <w:r w:rsidRPr="00E56E55">
              <w:rPr>
                <w:sz w:val="20"/>
                <w:szCs w:val="20"/>
              </w:rPr>
              <w:tab/>
            </w:r>
          </w:p>
        </w:tc>
        <w:tc>
          <w:tcPr>
            <w:tcW w:w="5477" w:type="dxa"/>
            <w:tcBorders>
              <w:top w:val="single" w:sz="4" w:space="0" w:color="auto"/>
              <w:bottom w:val="single" w:sz="4" w:space="0" w:color="auto"/>
            </w:tcBorders>
          </w:tcPr>
          <w:p w14:paraId="22659B2B" w14:textId="1A32B04A" w:rsidR="00541DD9" w:rsidRPr="00E56E55" w:rsidRDefault="00541DD9" w:rsidP="00541DD9">
            <w:pPr>
              <w:pStyle w:val="NoSpacing"/>
              <w:rPr>
                <w:rFonts w:ascii="Asap" w:hAnsi="Asap"/>
                <w:sz w:val="20"/>
                <w:szCs w:val="20"/>
              </w:rPr>
            </w:pPr>
            <w:r w:rsidRPr="00E56E55">
              <w:rPr>
                <w:rFonts w:ascii="Asap" w:hAnsi="Asap"/>
                <w:sz w:val="20"/>
                <w:szCs w:val="20"/>
              </w:rPr>
              <w:t>In fire conditions, toxic decomposition products may be formed (see also section 10). In combustion, emits fumes, smoke, carbon dioxide (CO2) and carbon monoxide (CO). Heating will cause a pressure rise - with severe risk of bursting and explosion, Violent steam generation or eruption may occur upon application of</w:t>
            </w:r>
            <w:r w:rsidRPr="00E56E55">
              <w:rPr>
                <w:rFonts w:ascii="Asap" w:hAnsi="Asap"/>
                <w:sz w:val="20"/>
                <w:szCs w:val="20"/>
              </w:rPr>
              <w:tab/>
              <w:t>direct water to hot liquids.</w:t>
            </w:r>
          </w:p>
        </w:tc>
      </w:tr>
      <w:tr w:rsidR="00541DD9" w:rsidRPr="00E56E55" w14:paraId="094A0FF7" w14:textId="77777777" w:rsidTr="00E56E55">
        <w:tc>
          <w:tcPr>
            <w:tcW w:w="495" w:type="dxa"/>
          </w:tcPr>
          <w:p w14:paraId="76F463FF" w14:textId="4C5120BC" w:rsidR="00541DD9" w:rsidRPr="00E56E55" w:rsidRDefault="00541DD9" w:rsidP="00541DD9">
            <w:pPr>
              <w:rPr>
                <w:b/>
                <w:bCs/>
                <w:sz w:val="20"/>
                <w:szCs w:val="20"/>
              </w:rPr>
            </w:pPr>
            <w:r w:rsidRPr="00E56E55">
              <w:rPr>
                <w:b/>
                <w:bCs/>
                <w:sz w:val="20"/>
                <w:szCs w:val="20"/>
              </w:rPr>
              <w:t>5.4</w:t>
            </w:r>
          </w:p>
        </w:tc>
        <w:tc>
          <w:tcPr>
            <w:tcW w:w="3044" w:type="dxa"/>
          </w:tcPr>
          <w:p w14:paraId="18AD1A49" w14:textId="410134F2" w:rsidR="00541DD9" w:rsidRPr="00E56E55" w:rsidRDefault="00541DD9" w:rsidP="00541DD9">
            <w:pPr>
              <w:rPr>
                <w:sz w:val="20"/>
                <w:szCs w:val="20"/>
              </w:rPr>
            </w:pPr>
            <w:r w:rsidRPr="00E56E55">
              <w:rPr>
                <w:b/>
                <w:sz w:val="20"/>
                <w:szCs w:val="20"/>
              </w:rPr>
              <w:t>Advice for firefighters</w:t>
            </w:r>
            <w:r w:rsidRPr="00E56E55">
              <w:rPr>
                <w:sz w:val="20"/>
                <w:szCs w:val="20"/>
              </w:rPr>
              <w:tab/>
            </w:r>
          </w:p>
        </w:tc>
        <w:tc>
          <w:tcPr>
            <w:tcW w:w="5477" w:type="dxa"/>
            <w:tcBorders>
              <w:top w:val="single" w:sz="4" w:space="0" w:color="auto"/>
              <w:bottom w:val="single" w:sz="4" w:space="0" w:color="auto"/>
            </w:tcBorders>
          </w:tcPr>
          <w:p w14:paraId="43D624AE" w14:textId="007CB117" w:rsidR="00541DD9" w:rsidRPr="00E56E55" w:rsidRDefault="00541DD9" w:rsidP="00541DD9">
            <w:pPr>
              <w:pStyle w:val="NoSpacing"/>
              <w:rPr>
                <w:rFonts w:ascii="Asap" w:hAnsi="Asap"/>
                <w:b/>
                <w:sz w:val="20"/>
                <w:szCs w:val="20"/>
                <w:u w:val="single"/>
              </w:rPr>
            </w:pPr>
            <w:r w:rsidRPr="00E56E55">
              <w:rPr>
                <w:rFonts w:ascii="Asap" w:hAnsi="Asap"/>
                <w:sz w:val="20"/>
                <w:szCs w:val="20"/>
              </w:rPr>
              <w:t>In the event of fire, wear self-contained breathing apparatus. Wear personal protective equipment. Promptly isolate the scene by removing all persons from the vicinity of the incident if there is a fire. Keep containers cool by spraying with water if exposed to fire. Collect contaminated fire extinguishing water separately. This must not be discharged into drains. Burning fluids may be extinguished by dilution with water.</w:t>
            </w:r>
          </w:p>
        </w:tc>
      </w:tr>
    </w:tbl>
    <w:p w14:paraId="1AF87C6D" w14:textId="77777777" w:rsidR="00541DD9" w:rsidRPr="00E56E55" w:rsidRDefault="00541DD9" w:rsidP="00541DD9">
      <w:pPr>
        <w:spacing w:after="0"/>
        <w:rPr>
          <w:sz w:val="20"/>
          <w:szCs w:val="20"/>
        </w:rPr>
      </w:pPr>
    </w:p>
    <w:p w14:paraId="49CA1141" w14:textId="089BBDD0" w:rsidR="00541DD9" w:rsidRPr="00E56E55" w:rsidRDefault="00541DD9" w:rsidP="00541DD9">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6:  ACCIDENTAL RELEASE MEASURES</w:t>
      </w:r>
    </w:p>
    <w:p w14:paraId="6804C92C" w14:textId="77777777" w:rsidR="00541DD9" w:rsidRPr="00E56E55" w:rsidRDefault="00541DD9" w:rsidP="00541DD9">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044"/>
        <w:gridCol w:w="5477"/>
      </w:tblGrid>
      <w:tr w:rsidR="00541DD9" w:rsidRPr="00E56E55" w14:paraId="7FFF8D84" w14:textId="77777777" w:rsidTr="00E56E55">
        <w:tc>
          <w:tcPr>
            <w:tcW w:w="495" w:type="dxa"/>
          </w:tcPr>
          <w:p w14:paraId="1AA67FAB" w14:textId="3F94DA87" w:rsidR="00541DD9" w:rsidRPr="00E56E55" w:rsidRDefault="00541DD9" w:rsidP="00605261">
            <w:pPr>
              <w:rPr>
                <w:b/>
                <w:bCs/>
                <w:sz w:val="20"/>
                <w:szCs w:val="20"/>
              </w:rPr>
            </w:pPr>
            <w:r w:rsidRPr="00E56E55">
              <w:rPr>
                <w:b/>
                <w:bCs/>
                <w:sz w:val="20"/>
                <w:szCs w:val="20"/>
              </w:rPr>
              <w:t>6.1</w:t>
            </w:r>
          </w:p>
        </w:tc>
        <w:tc>
          <w:tcPr>
            <w:tcW w:w="3044" w:type="dxa"/>
          </w:tcPr>
          <w:p w14:paraId="007C7F11" w14:textId="42A49EAF" w:rsidR="00541DD9" w:rsidRPr="00E56E55" w:rsidRDefault="00541DD9" w:rsidP="00605261">
            <w:pPr>
              <w:rPr>
                <w:sz w:val="20"/>
                <w:szCs w:val="20"/>
              </w:rPr>
            </w:pPr>
            <w:r w:rsidRPr="00E56E55">
              <w:rPr>
                <w:b/>
                <w:sz w:val="20"/>
                <w:szCs w:val="20"/>
              </w:rPr>
              <w:t>Personal precautions</w:t>
            </w:r>
          </w:p>
        </w:tc>
        <w:tc>
          <w:tcPr>
            <w:tcW w:w="5477" w:type="dxa"/>
          </w:tcPr>
          <w:p w14:paraId="760D86F6" w14:textId="21A8550A" w:rsidR="00541DD9" w:rsidRPr="00E56E55" w:rsidRDefault="00541DD9" w:rsidP="00E56E55">
            <w:pPr>
              <w:pStyle w:val="NoSpacing"/>
              <w:pBdr>
                <w:top w:val="single" w:sz="4" w:space="1" w:color="auto"/>
                <w:bottom w:val="single" w:sz="4" w:space="1" w:color="auto"/>
              </w:pBdr>
              <w:rPr>
                <w:rFonts w:ascii="Asap" w:hAnsi="Asap"/>
                <w:sz w:val="20"/>
                <w:szCs w:val="20"/>
              </w:rPr>
            </w:pPr>
            <w:r w:rsidRPr="00E56E55">
              <w:rPr>
                <w:rFonts w:ascii="Asap" w:hAnsi="Asap"/>
                <w:sz w:val="20"/>
                <w:szCs w:val="20"/>
              </w:rPr>
              <w:t>Use personal protective equipment. Avoid contact with skin and eyes. Keep unnecessary and unprotected personnel from entering the area.</w:t>
            </w:r>
          </w:p>
        </w:tc>
      </w:tr>
      <w:tr w:rsidR="00541DD9" w:rsidRPr="00E56E55" w14:paraId="4411012F" w14:textId="77777777" w:rsidTr="00E56E55">
        <w:tc>
          <w:tcPr>
            <w:tcW w:w="495" w:type="dxa"/>
          </w:tcPr>
          <w:p w14:paraId="09E4EE6D" w14:textId="70D3D95D" w:rsidR="00541DD9" w:rsidRPr="00E56E55" w:rsidRDefault="00541DD9" w:rsidP="00605261">
            <w:pPr>
              <w:rPr>
                <w:b/>
                <w:bCs/>
                <w:sz w:val="20"/>
                <w:szCs w:val="20"/>
              </w:rPr>
            </w:pPr>
            <w:r w:rsidRPr="00E56E55">
              <w:rPr>
                <w:b/>
                <w:bCs/>
                <w:sz w:val="20"/>
                <w:szCs w:val="20"/>
              </w:rPr>
              <w:t>6.2</w:t>
            </w:r>
          </w:p>
        </w:tc>
        <w:tc>
          <w:tcPr>
            <w:tcW w:w="3044" w:type="dxa"/>
          </w:tcPr>
          <w:p w14:paraId="2E9B8D9C" w14:textId="2BEE961A" w:rsidR="00541DD9" w:rsidRPr="00E56E55" w:rsidRDefault="00541DD9" w:rsidP="00E56E55">
            <w:pPr>
              <w:pStyle w:val="NoSpacing"/>
              <w:rPr>
                <w:rFonts w:ascii="Asap" w:hAnsi="Asap"/>
                <w:b/>
                <w:bCs/>
                <w:sz w:val="20"/>
                <w:szCs w:val="20"/>
              </w:rPr>
            </w:pPr>
            <w:r w:rsidRPr="00E56E55">
              <w:rPr>
                <w:rFonts w:ascii="Asap" w:hAnsi="Asap"/>
                <w:b/>
                <w:sz w:val="20"/>
                <w:szCs w:val="20"/>
              </w:rPr>
              <w:t>Precaution to protect the environment</w:t>
            </w:r>
          </w:p>
        </w:tc>
        <w:tc>
          <w:tcPr>
            <w:tcW w:w="5477" w:type="dxa"/>
            <w:tcBorders>
              <w:bottom w:val="single" w:sz="4" w:space="0" w:color="auto"/>
            </w:tcBorders>
          </w:tcPr>
          <w:p w14:paraId="772AE7F1" w14:textId="5ACB9269" w:rsidR="00541DD9" w:rsidRPr="00E56E55" w:rsidRDefault="00541DD9" w:rsidP="00541DD9">
            <w:pPr>
              <w:rPr>
                <w:sz w:val="20"/>
                <w:szCs w:val="20"/>
              </w:rPr>
            </w:pPr>
            <w:r w:rsidRPr="00E56E55">
              <w:rPr>
                <w:sz w:val="20"/>
                <w:szCs w:val="20"/>
              </w:rPr>
              <w:t>Do not flush into surface water or sanitary sewer system.  Avoid subsoil penetration.</w:t>
            </w:r>
          </w:p>
        </w:tc>
      </w:tr>
      <w:tr w:rsidR="00541DD9" w:rsidRPr="00E56E55" w14:paraId="0685C368" w14:textId="77777777" w:rsidTr="00E56E55">
        <w:tc>
          <w:tcPr>
            <w:tcW w:w="495" w:type="dxa"/>
          </w:tcPr>
          <w:p w14:paraId="5B6752FF" w14:textId="376ECB5F" w:rsidR="00541DD9" w:rsidRPr="00E56E55" w:rsidRDefault="00541DD9" w:rsidP="00605261">
            <w:pPr>
              <w:rPr>
                <w:b/>
                <w:bCs/>
                <w:sz w:val="20"/>
                <w:szCs w:val="20"/>
              </w:rPr>
            </w:pPr>
            <w:r w:rsidRPr="00E56E55">
              <w:rPr>
                <w:b/>
                <w:bCs/>
                <w:sz w:val="20"/>
                <w:szCs w:val="20"/>
              </w:rPr>
              <w:t>6.3</w:t>
            </w:r>
          </w:p>
        </w:tc>
        <w:tc>
          <w:tcPr>
            <w:tcW w:w="3044" w:type="dxa"/>
          </w:tcPr>
          <w:p w14:paraId="25E7E232" w14:textId="59D288DF" w:rsidR="00541DD9" w:rsidRPr="00E56E55" w:rsidRDefault="00541DD9" w:rsidP="00605261">
            <w:pPr>
              <w:rPr>
                <w:b/>
                <w:sz w:val="20"/>
                <w:szCs w:val="20"/>
                <w:u w:val="single"/>
              </w:rPr>
            </w:pPr>
            <w:r w:rsidRPr="00E56E55">
              <w:rPr>
                <w:b/>
                <w:sz w:val="20"/>
                <w:szCs w:val="20"/>
              </w:rPr>
              <w:t>Clean-up procedures</w:t>
            </w:r>
          </w:p>
        </w:tc>
        <w:tc>
          <w:tcPr>
            <w:tcW w:w="5477" w:type="dxa"/>
            <w:tcBorders>
              <w:top w:val="single" w:sz="4" w:space="0" w:color="auto"/>
            </w:tcBorders>
          </w:tcPr>
          <w:p w14:paraId="4BDD5EAC" w14:textId="4DD77E7E" w:rsidR="00541DD9" w:rsidRPr="00E56E55" w:rsidRDefault="00541DD9" w:rsidP="00541DD9">
            <w:pPr>
              <w:rPr>
                <w:sz w:val="20"/>
                <w:szCs w:val="20"/>
              </w:rPr>
            </w:pPr>
            <w:r w:rsidRPr="00E56E55">
              <w:rPr>
                <w:sz w:val="20"/>
                <w:szCs w:val="20"/>
              </w:rPr>
              <w:t>Contain the spillage, soak up with non-combustible absorbent material, (e.g. sand, earth, diatomaceous earth, vermiculite) and transfer to a container for disposal according to local/national regulations (see section 13). Keep in suitable, closed containers for disposal. Dike the area of spill to prevent spreading and pump liquid to salvage tank. Treat recovered material as described in section 13 Disposal considerations.</w:t>
            </w:r>
          </w:p>
        </w:tc>
      </w:tr>
    </w:tbl>
    <w:p w14:paraId="54A614DE" w14:textId="77777777" w:rsidR="00541DD9" w:rsidRPr="00E56E55" w:rsidRDefault="00541DD9" w:rsidP="00541DD9">
      <w:pPr>
        <w:spacing w:after="0"/>
        <w:rPr>
          <w:sz w:val="20"/>
          <w:szCs w:val="20"/>
        </w:rPr>
      </w:pPr>
    </w:p>
    <w:p w14:paraId="027B694F" w14:textId="7337715B" w:rsidR="00541DD9" w:rsidRPr="00E56E55" w:rsidRDefault="00541DD9" w:rsidP="00541DD9">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7:  HANDLING AND STORAGE</w:t>
      </w:r>
    </w:p>
    <w:p w14:paraId="5383BB50" w14:textId="77777777" w:rsidR="00541DD9" w:rsidRPr="00E56E55" w:rsidRDefault="00541DD9" w:rsidP="00541DD9">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3044"/>
        <w:gridCol w:w="5477"/>
      </w:tblGrid>
      <w:tr w:rsidR="00541DD9" w:rsidRPr="00E56E55" w14:paraId="73B1619E" w14:textId="77777777" w:rsidTr="00E56E55">
        <w:tc>
          <w:tcPr>
            <w:tcW w:w="495" w:type="dxa"/>
          </w:tcPr>
          <w:p w14:paraId="7FB5CE11" w14:textId="1AACD36B" w:rsidR="00541DD9" w:rsidRPr="00E56E55" w:rsidRDefault="00541DD9" w:rsidP="00605261">
            <w:pPr>
              <w:rPr>
                <w:b/>
                <w:bCs/>
                <w:sz w:val="20"/>
                <w:szCs w:val="20"/>
              </w:rPr>
            </w:pPr>
            <w:r w:rsidRPr="00E56E55">
              <w:rPr>
                <w:b/>
                <w:bCs/>
                <w:sz w:val="20"/>
                <w:szCs w:val="20"/>
              </w:rPr>
              <w:t>7.1</w:t>
            </w:r>
          </w:p>
        </w:tc>
        <w:tc>
          <w:tcPr>
            <w:tcW w:w="3044" w:type="dxa"/>
          </w:tcPr>
          <w:p w14:paraId="7CAF697E" w14:textId="70438B2E" w:rsidR="00541DD9" w:rsidRPr="00E56E55" w:rsidRDefault="00541DD9" w:rsidP="00605261">
            <w:pPr>
              <w:rPr>
                <w:b/>
                <w:sz w:val="20"/>
                <w:szCs w:val="20"/>
                <w:u w:val="single"/>
              </w:rPr>
            </w:pPr>
            <w:r w:rsidRPr="00E56E55">
              <w:rPr>
                <w:b/>
                <w:sz w:val="20"/>
                <w:szCs w:val="20"/>
              </w:rPr>
              <w:t>Precautions for safe handling</w:t>
            </w:r>
          </w:p>
        </w:tc>
        <w:tc>
          <w:tcPr>
            <w:tcW w:w="5477" w:type="dxa"/>
            <w:tcBorders>
              <w:bottom w:val="single" w:sz="4" w:space="0" w:color="auto"/>
            </w:tcBorders>
          </w:tcPr>
          <w:p w14:paraId="7B4A7D2F" w14:textId="22D66BAF" w:rsidR="00541DD9" w:rsidRPr="00E56E55" w:rsidRDefault="00541DD9" w:rsidP="00541DD9">
            <w:pPr>
              <w:rPr>
                <w:sz w:val="20"/>
                <w:szCs w:val="20"/>
              </w:rPr>
            </w:pPr>
            <w:r w:rsidRPr="00E56E55">
              <w:rPr>
                <w:sz w:val="20"/>
                <w:szCs w:val="20"/>
              </w:rPr>
              <w:t>Keep container tightly closed.  Handle in accordance with good industrial hygiene and safety practice.  Spills of these organic materials on hot fibrous insulations may lead to lowering of the auto-ignition temperatures possibly resulting in spontaneous combustion.</w:t>
            </w:r>
          </w:p>
        </w:tc>
      </w:tr>
      <w:tr w:rsidR="00541DD9" w:rsidRPr="00E56E55" w14:paraId="42051AFF" w14:textId="77777777" w:rsidTr="00E56E55">
        <w:tc>
          <w:tcPr>
            <w:tcW w:w="495" w:type="dxa"/>
          </w:tcPr>
          <w:p w14:paraId="76FAF0BE" w14:textId="20AAF35C" w:rsidR="00541DD9" w:rsidRPr="00E56E55" w:rsidRDefault="00541DD9" w:rsidP="00605261">
            <w:pPr>
              <w:rPr>
                <w:b/>
                <w:bCs/>
                <w:sz w:val="20"/>
                <w:szCs w:val="20"/>
              </w:rPr>
            </w:pPr>
            <w:r w:rsidRPr="00E56E55">
              <w:rPr>
                <w:b/>
                <w:bCs/>
                <w:sz w:val="20"/>
                <w:szCs w:val="20"/>
              </w:rPr>
              <w:t>7.2</w:t>
            </w:r>
          </w:p>
        </w:tc>
        <w:tc>
          <w:tcPr>
            <w:tcW w:w="3044" w:type="dxa"/>
          </w:tcPr>
          <w:p w14:paraId="13F29D17" w14:textId="16ECE2A8" w:rsidR="00541DD9" w:rsidRPr="00E56E55" w:rsidRDefault="00541DD9" w:rsidP="00E56E55">
            <w:pPr>
              <w:pStyle w:val="NoSpacing"/>
              <w:rPr>
                <w:rFonts w:ascii="Asap" w:hAnsi="Asap"/>
                <w:b/>
                <w:bCs/>
                <w:sz w:val="20"/>
                <w:szCs w:val="20"/>
              </w:rPr>
            </w:pPr>
            <w:r w:rsidRPr="00E56E55">
              <w:rPr>
                <w:rFonts w:ascii="Asap" w:hAnsi="Asap"/>
                <w:b/>
                <w:bCs/>
                <w:sz w:val="20"/>
                <w:szCs w:val="20"/>
              </w:rPr>
              <w:t>Conditions for safe storage</w:t>
            </w:r>
          </w:p>
        </w:tc>
        <w:tc>
          <w:tcPr>
            <w:tcW w:w="5477" w:type="dxa"/>
            <w:tcBorders>
              <w:top w:val="single" w:sz="4" w:space="0" w:color="auto"/>
            </w:tcBorders>
          </w:tcPr>
          <w:p w14:paraId="5D813CC4" w14:textId="19C4A0EB" w:rsidR="00541DD9" w:rsidRPr="00E56E55" w:rsidRDefault="00541DD9" w:rsidP="00541DD9">
            <w:pPr>
              <w:rPr>
                <w:sz w:val="20"/>
                <w:szCs w:val="20"/>
              </w:rPr>
            </w:pPr>
            <w:r w:rsidRPr="00E56E55">
              <w:rPr>
                <w:sz w:val="20"/>
                <w:szCs w:val="20"/>
              </w:rPr>
              <w:t>Keep only in the original container.</w:t>
            </w:r>
          </w:p>
        </w:tc>
      </w:tr>
    </w:tbl>
    <w:p w14:paraId="413A47C7" w14:textId="77777777" w:rsidR="00541DD9" w:rsidRPr="00E56E55" w:rsidRDefault="00541DD9" w:rsidP="00541DD9">
      <w:pPr>
        <w:spacing w:after="0"/>
        <w:rPr>
          <w:sz w:val="20"/>
          <w:szCs w:val="20"/>
        </w:rPr>
      </w:pPr>
    </w:p>
    <w:p w14:paraId="60B2D765" w14:textId="77777777" w:rsidR="00541DD9" w:rsidRPr="00E56E55" w:rsidRDefault="00541DD9" w:rsidP="00541DD9">
      <w:pPr>
        <w:spacing w:after="0"/>
        <w:rPr>
          <w:sz w:val="20"/>
          <w:szCs w:val="20"/>
        </w:rPr>
      </w:pPr>
    </w:p>
    <w:p w14:paraId="7CA82DBE" w14:textId="77777777" w:rsidR="00541DD9" w:rsidRPr="00E56E55" w:rsidRDefault="00541DD9" w:rsidP="00541DD9">
      <w:pPr>
        <w:spacing w:after="0"/>
        <w:rPr>
          <w:sz w:val="20"/>
          <w:szCs w:val="20"/>
        </w:rPr>
      </w:pPr>
    </w:p>
    <w:p w14:paraId="3BA3A850" w14:textId="65615ECD" w:rsidR="00541DD9" w:rsidRPr="00E56E55" w:rsidRDefault="00541DD9" w:rsidP="00541DD9">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8: EXPOSURE CONTROLS/PERSONAL PROTECTION</w:t>
      </w:r>
    </w:p>
    <w:p w14:paraId="107CC607" w14:textId="77777777" w:rsidR="00541DD9" w:rsidRPr="00E56E55" w:rsidRDefault="00541DD9" w:rsidP="00541DD9">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972"/>
        <w:gridCol w:w="5477"/>
      </w:tblGrid>
      <w:tr w:rsidR="00A90D01" w:rsidRPr="00E56E55" w14:paraId="180B3000" w14:textId="77777777" w:rsidTr="00E56E55">
        <w:tc>
          <w:tcPr>
            <w:tcW w:w="567" w:type="dxa"/>
          </w:tcPr>
          <w:p w14:paraId="1DC5C087" w14:textId="5F0BE3C3" w:rsidR="00541DD9" w:rsidRPr="00E56E55" w:rsidRDefault="00541DD9" w:rsidP="00605261">
            <w:pPr>
              <w:rPr>
                <w:b/>
                <w:bCs/>
                <w:sz w:val="20"/>
                <w:szCs w:val="20"/>
              </w:rPr>
            </w:pPr>
            <w:r w:rsidRPr="00E56E55">
              <w:rPr>
                <w:b/>
                <w:bCs/>
                <w:sz w:val="20"/>
                <w:szCs w:val="20"/>
              </w:rPr>
              <w:t>8.1</w:t>
            </w:r>
          </w:p>
        </w:tc>
        <w:tc>
          <w:tcPr>
            <w:tcW w:w="2972" w:type="dxa"/>
          </w:tcPr>
          <w:p w14:paraId="4677C78B" w14:textId="6F170532" w:rsidR="00541DD9" w:rsidRPr="00E56E55" w:rsidRDefault="00541DD9" w:rsidP="00605261">
            <w:pPr>
              <w:rPr>
                <w:sz w:val="20"/>
                <w:szCs w:val="20"/>
              </w:rPr>
            </w:pPr>
            <w:r w:rsidRPr="00E56E55">
              <w:rPr>
                <w:b/>
                <w:sz w:val="20"/>
                <w:szCs w:val="20"/>
              </w:rPr>
              <w:t>Control Parameters</w:t>
            </w:r>
          </w:p>
        </w:tc>
        <w:tc>
          <w:tcPr>
            <w:tcW w:w="5477" w:type="dxa"/>
            <w:tcBorders>
              <w:bottom w:val="single" w:sz="4" w:space="0" w:color="auto"/>
            </w:tcBorders>
          </w:tcPr>
          <w:p w14:paraId="02F916B3" w14:textId="77777777" w:rsidR="00541DD9" w:rsidRPr="00E56E55" w:rsidRDefault="00541DD9" w:rsidP="00541DD9">
            <w:pPr>
              <w:rPr>
                <w:sz w:val="20"/>
                <w:szCs w:val="20"/>
              </w:rPr>
            </w:pPr>
            <w:r w:rsidRPr="00E56E55">
              <w:rPr>
                <w:sz w:val="20"/>
                <w:szCs w:val="20"/>
              </w:rPr>
              <w:t>Component: Propane-1,2-diol CAS-No. 57-55-6</w:t>
            </w:r>
          </w:p>
          <w:p w14:paraId="28E88900" w14:textId="20100EBA" w:rsidR="00541DD9" w:rsidRPr="00E56E55" w:rsidRDefault="00541DD9" w:rsidP="00541DD9">
            <w:pPr>
              <w:rPr>
                <w:sz w:val="20"/>
                <w:szCs w:val="20"/>
              </w:rPr>
            </w:pPr>
            <w:r w:rsidRPr="00E56E55">
              <w:rPr>
                <w:sz w:val="20"/>
                <w:szCs w:val="20"/>
              </w:rPr>
              <w:t>Other Occupational Exposure Limit Values EH40 WEL, Time Weighted Average (TWA): Total vapour and particulates.150 ppm, 474 mg/m3</w:t>
            </w:r>
          </w:p>
          <w:p w14:paraId="7BDC92C6" w14:textId="648366EA" w:rsidR="00541DD9" w:rsidRPr="00E56E55" w:rsidRDefault="00541DD9" w:rsidP="00541DD9">
            <w:pPr>
              <w:rPr>
                <w:sz w:val="20"/>
                <w:szCs w:val="20"/>
              </w:rPr>
            </w:pPr>
            <w:r w:rsidRPr="00E56E55">
              <w:rPr>
                <w:sz w:val="20"/>
                <w:szCs w:val="20"/>
              </w:rPr>
              <w:t>EH40 WEL, Time Weighted Average (TWA): Particulate.10 mg/m3</w:t>
            </w:r>
          </w:p>
          <w:p w14:paraId="57F7BB9A" w14:textId="2311C8BE" w:rsidR="00541DD9" w:rsidRPr="00E56E55" w:rsidRDefault="00541DD9" w:rsidP="00541DD9">
            <w:pPr>
              <w:rPr>
                <w:sz w:val="20"/>
                <w:szCs w:val="20"/>
              </w:rPr>
            </w:pPr>
            <w:r w:rsidRPr="00E56E55">
              <w:rPr>
                <w:sz w:val="20"/>
                <w:szCs w:val="20"/>
              </w:rPr>
              <w:t>ELV (IE), Time Weighted Average (TWA): Total vapour and particulates.150 ppm, 470 mg/m3</w:t>
            </w:r>
          </w:p>
          <w:p w14:paraId="33BDEBC8" w14:textId="7C4EEC53" w:rsidR="00541DD9" w:rsidRPr="00E56E55" w:rsidRDefault="00541DD9" w:rsidP="00605261">
            <w:pPr>
              <w:rPr>
                <w:sz w:val="20"/>
                <w:szCs w:val="20"/>
              </w:rPr>
            </w:pPr>
            <w:r w:rsidRPr="00E56E55">
              <w:rPr>
                <w:sz w:val="20"/>
                <w:szCs w:val="20"/>
              </w:rPr>
              <w:t>ELV (IE), Time Weighted Average (TWA): Particulate.10 mg/m3</w:t>
            </w:r>
          </w:p>
        </w:tc>
      </w:tr>
      <w:tr w:rsidR="00A90D01" w:rsidRPr="00E56E55" w14:paraId="15310B64" w14:textId="77777777" w:rsidTr="00E56E55">
        <w:tc>
          <w:tcPr>
            <w:tcW w:w="567" w:type="dxa"/>
          </w:tcPr>
          <w:p w14:paraId="003D2966" w14:textId="4F382F11" w:rsidR="00541DD9" w:rsidRPr="00E56E55" w:rsidRDefault="00541DD9" w:rsidP="00605261">
            <w:pPr>
              <w:rPr>
                <w:b/>
                <w:bCs/>
                <w:sz w:val="20"/>
                <w:szCs w:val="20"/>
              </w:rPr>
            </w:pPr>
            <w:r w:rsidRPr="00E56E55">
              <w:rPr>
                <w:b/>
                <w:bCs/>
                <w:sz w:val="20"/>
                <w:szCs w:val="20"/>
              </w:rPr>
              <w:t>8.2</w:t>
            </w:r>
            <w:r w:rsidR="00A90D01" w:rsidRPr="00E56E55">
              <w:rPr>
                <w:b/>
                <w:bCs/>
                <w:sz w:val="20"/>
                <w:szCs w:val="20"/>
              </w:rPr>
              <w:t xml:space="preserve">  </w:t>
            </w:r>
          </w:p>
        </w:tc>
        <w:tc>
          <w:tcPr>
            <w:tcW w:w="2972" w:type="dxa"/>
          </w:tcPr>
          <w:p w14:paraId="4569E6C7" w14:textId="53712DCB" w:rsidR="00541DD9" w:rsidRPr="00E56E55" w:rsidRDefault="00541DD9" w:rsidP="00605261">
            <w:pPr>
              <w:rPr>
                <w:sz w:val="20"/>
                <w:szCs w:val="20"/>
              </w:rPr>
            </w:pPr>
            <w:r w:rsidRPr="00E56E55">
              <w:rPr>
                <w:b/>
                <w:sz w:val="20"/>
                <w:szCs w:val="20"/>
              </w:rPr>
              <w:t>Exposure controls/Appropriate engineering controls</w:t>
            </w:r>
          </w:p>
        </w:tc>
        <w:tc>
          <w:tcPr>
            <w:tcW w:w="5477" w:type="dxa"/>
            <w:tcBorders>
              <w:top w:val="single" w:sz="4" w:space="0" w:color="auto"/>
              <w:bottom w:val="single" w:sz="4" w:space="0" w:color="auto"/>
            </w:tcBorders>
          </w:tcPr>
          <w:p w14:paraId="0AC72708" w14:textId="0421B720" w:rsidR="00541DD9" w:rsidRPr="00E56E55" w:rsidRDefault="00541DD9" w:rsidP="00605261">
            <w:pPr>
              <w:rPr>
                <w:sz w:val="20"/>
                <w:szCs w:val="20"/>
              </w:rPr>
            </w:pPr>
            <w:r w:rsidRPr="00E56E55">
              <w:rPr>
                <w:sz w:val="20"/>
                <w:szCs w:val="20"/>
              </w:rPr>
              <w:t>Local exhaust. If this product contains ingredients with exposure limits, use process enclosures, local exhaust ventilation or other engineering controls to keep worker exposure below any recommended or statutory limits.</w:t>
            </w:r>
          </w:p>
        </w:tc>
      </w:tr>
      <w:tr w:rsidR="00A90D01" w:rsidRPr="00E56E55" w14:paraId="265EA030" w14:textId="77777777" w:rsidTr="00E56E55">
        <w:tc>
          <w:tcPr>
            <w:tcW w:w="567" w:type="dxa"/>
          </w:tcPr>
          <w:p w14:paraId="158EB89F" w14:textId="37DA9625" w:rsidR="00541DD9" w:rsidRPr="00E56E55" w:rsidRDefault="00541DD9" w:rsidP="00605261">
            <w:pPr>
              <w:rPr>
                <w:b/>
                <w:bCs/>
                <w:sz w:val="20"/>
                <w:szCs w:val="20"/>
              </w:rPr>
            </w:pPr>
          </w:p>
        </w:tc>
        <w:tc>
          <w:tcPr>
            <w:tcW w:w="2972" w:type="dxa"/>
          </w:tcPr>
          <w:p w14:paraId="1F4D7592" w14:textId="7B9A6872" w:rsidR="00541DD9" w:rsidRPr="00E56E55" w:rsidRDefault="00541DD9" w:rsidP="00605261">
            <w:pPr>
              <w:rPr>
                <w:sz w:val="20"/>
                <w:szCs w:val="20"/>
              </w:rPr>
            </w:pPr>
            <w:r w:rsidRPr="00E56E55">
              <w:rPr>
                <w:b/>
                <w:sz w:val="20"/>
                <w:szCs w:val="20"/>
              </w:rPr>
              <w:t>Personal protective equipment</w:t>
            </w:r>
          </w:p>
        </w:tc>
        <w:tc>
          <w:tcPr>
            <w:tcW w:w="5477" w:type="dxa"/>
            <w:tcBorders>
              <w:top w:val="single" w:sz="4" w:space="0" w:color="auto"/>
            </w:tcBorders>
          </w:tcPr>
          <w:p w14:paraId="5EC9CE37" w14:textId="53C8E943" w:rsidR="00541DD9" w:rsidRPr="00E56E55" w:rsidRDefault="00541DD9" w:rsidP="00541DD9">
            <w:pPr>
              <w:rPr>
                <w:sz w:val="20"/>
                <w:szCs w:val="20"/>
              </w:rPr>
            </w:pPr>
            <w:r w:rsidRPr="00E56E55">
              <w:rPr>
                <w:sz w:val="20"/>
                <w:szCs w:val="20"/>
              </w:rPr>
              <w:t>Respiratory protection: Suitable respiratory protective device Combination filter: A-P2</w:t>
            </w:r>
          </w:p>
          <w:p w14:paraId="7EF8FC94" w14:textId="41CAAA5D" w:rsidR="00541DD9" w:rsidRPr="00E56E55" w:rsidRDefault="00541DD9" w:rsidP="00541DD9">
            <w:pPr>
              <w:rPr>
                <w:sz w:val="20"/>
                <w:szCs w:val="20"/>
              </w:rPr>
            </w:pPr>
            <w:r w:rsidRPr="00E56E55">
              <w:rPr>
                <w:sz w:val="20"/>
                <w:szCs w:val="20"/>
              </w:rPr>
              <w:t>Filter Type: Combined particulates and organic vapour type</w:t>
            </w:r>
          </w:p>
          <w:p w14:paraId="30FEA97C" w14:textId="5D20A31B" w:rsidR="00541DD9" w:rsidRPr="00E56E55" w:rsidRDefault="00541DD9" w:rsidP="00541DD9">
            <w:pPr>
              <w:rPr>
                <w:sz w:val="20"/>
                <w:szCs w:val="20"/>
              </w:rPr>
            </w:pPr>
            <w:r w:rsidRPr="00E56E55">
              <w:rPr>
                <w:sz w:val="20"/>
                <w:szCs w:val="20"/>
              </w:rPr>
              <w:t>Hand protection: Category short time exposure - Break through time&gt; 10 min</w:t>
            </w:r>
          </w:p>
          <w:p w14:paraId="34B8CD4B" w14:textId="2826F35C" w:rsidR="00541DD9" w:rsidRPr="00E56E55" w:rsidRDefault="00541DD9" w:rsidP="00541DD9">
            <w:pPr>
              <w:rPr>
                <w:sz w:val="20"/>
                <w:szCs w:val="20"/>
              </w:rPr>
            </w:pPr>
            <w:r w:rsidRPr="00E56E55">
              <w:rPr>
                <w:sz w:val="20"/>
                <w:szCs w:val="20"/>
              </w:rPr>
              <w:t>Protective index: Class 1 When prolonged exposure is expected: Break through time&gt; 120 min</w:t>
            </w:r>
          </w:p>
          <w:p w14:paraId="30A88885" w14:textId="692F873B" w:rsidR="00541DD9" w:rsidRPr="00E56E55" w:rsidRDefault="00541DD9" w:rsidP="00541DD9">
            <w:pPr>
              <w:rPr>
                <w:sz w:val="20"/>
                <w:szCs w:val="20"/>
              </w:rPr>
            </w:pPr>
            <w:r w:rsidRPr="00E56E55">
              <w:rPr>
                <w:sz w:val="20"/>
                <w:szCs w:val="20"/>
              </w:rPr>
              <w:t>Protective index: Class 4 Observe the information of the glove manufacturers on permeability. Protective gloves should be chosen according to Workplace Safety Assessment. Gloves recommended according to EN 374 (protection against chemicals).</w:t>
            </w:r>
          </w:p>
          <w:p w14:paraId="79A4124A" w14:textId="2A43B4DE" w:rsidR="00541DD9" w:rsidRPr="00E56E55" w:rsidRDefault="00541DD9" w:rsidP="00541DD9">
            <w:pPr>
              <w:rPr>
                <w:sz w:val="20"/>
                <w:szCs w:val="20"/>
              </w:rPr>
            </w:pPr>
            <w:r w:rsidRPr="00E56E55">
              <w:rPr>
                <w:sz w:val="20"/>
                <w:szCs w:val="20"/>
              </w:rPr>
              <w:t>Material: Chemical resistant gloves made of butyl rubber or nitrile rubber category III according to EN 374.</w:t>
            </w:r>
          </w:p>
        </w:tc>
      </w:tr>
    </w:tbl>
    <w:p w14:paraId="160CF2DE" w14:textId="77777777" w:rsidR="00541DD9" w:rsidRPr="00E56E55" w:rsidRDefault="00541DD9" w:rsidP="00541DD9">
      <w:pPr>
        <w:spacing w:after="0"/>
        <w:rPr>
          <w:sz w:val="20"/>
          <w:szCs w:val="20"/>
        </w:rPr>
      </w:pPr>
    </w:p>
    <w:p w14:paraId="09CDE487" w14:textId="1FFE5623" w:rsidR="00541DD9" w:rsidRPr="00E56E55" w:rsidRDefault="00541DD9" w:rsidP="00541DD9">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9:  PHYSICAL AND CHEMICAL PROPERTIES</w:t>
      </w:r>
    </w:p>
    <w:p w14:paraId="3AC4B329" w14:textId="77777777" w:rsidR="00541DD9" w:rsidRPr="00E56E55" w:rsidRDefault="00541DD9" w:rsidP="00541DD9">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024"/>
        <w:gridCol w:w="5428"/>
      </w:tblGrid>
      <w:tr w:rsidR="00541DD9" w:rsidRPr="00E56E55" w14:paraId="018E29A4" w14:textId="77777777" w:rsidTr="00E56E55">
        <w:tc>
          <w:tcPr>
            <w:tcW w:w="495" w:type="dxa"/>
          </w:tcPr>
          <w:p w14:paraId="2719F480" w14:textId="0013C516" w:rsidR="00541DD9" w:rsidRPr="00E56E55" w:rsidRDefault="00541DD9" w:rsidP="00605261">
            <w:pPr>
              <w:rPr>
                <w:b/>
                <w:bCs/>
                <w:sz w:val="20"/>
                <w:szCs w:val="20"/>
              </w:rPr>
            </w:pPr>
            <w:r w:rsidRPr="00E56E55">
              <w:rPr>
                <w:b/>
                <w:bCs/>
                <w:sz w:val="20"/>
                <w:szCs w:val="20"/>
              </w:rPr>
              <w:t>9.1</w:t>
            </w:r>
          </w:p>
        </w:tc>
        <w:tc>
          <w:tcPr>
            <w:tcW w:w="3044" w:type="dxa"/>
          </w:tcPr>
          <w:p w14:paraId="29C5ACB7" w14:textId="66011458" w:rsidR="00541DD9" w:rsidRPr="00E56E55" w:rsidRDefault="00541DD9" w:rsidP="00605261">
            <w:pPr>
              <w:rPr>
                <w:b/>
                <w:bCs/>
                <w:sz w:val="20"/>
                <w:szCs w:val="20"/>
              </w:rPr>
            </w:pPr>
            <w:r w:rsidRPr="00E56E55">
              <w:rPr>
                <w:b/>
                <w:bCs/>
                <w:sz w:val="20"/>
                <w:szCs w:val="20"/>
              </w:rPr>
              <w:t>Appearance at 20°C</w:t>
            </w:r>
          </w:p>
        </w:tc>
        <w:tc>
          <w:tcPr>
            <w:tcW w:w="5477" w:type="dxa"/>
            <w:tcBorders>
              <w:bottom w:val="single" w:sz="4" w:space="0" w:color="auto"/>
            </w:tcBorders>
          </w:tcPr>
          <w:p w14:paraId="1F7FB6A2" w14:textId="334D35FB" w:rsidR="00541DD9" w:rsidRPr="00E56E55" w:rsidRDefault="00541DD9" w:rsidP="00E56E55">
            <w:pPr>
              <w:pStyle w:val="NoSpacing"/>
              <w:rPr>
                <w:rFonts w:ascii="Asap" w:hAnsi="Asap"/>
                <w:sz w:val="20"/>
                <w:szCs w:val="20"/>
              </w:rPr>
            </w:pPr>
            <w:r w:rsidRPr="00E56E55">
              <w:rPr>
                <w:rFonts w:ascii="Asap" w:hAnsi="Asap"/>
                <w:sz w:val="20"/>
                <w:szCs w:val="20"/>
              </w:rPr>
              <w:t>Fluorescent green clear liquid</w:t>
            </w:r>
          </w:p>
        </w:tc>
      </w:tr>
      <w:tr w:rsidR="00541DD9" w:rsidRPr="00E56E55" w14:paraId="227A19BB" w14:textId="77777777" w:rsidTr="00E56E55">
        <w:tc>
          <w:tcPr>
            <w:tcW w:w="495" w:type="dxa"/>
          </w:tcPr>
          <w:p w14:paraId="45E02250" w14:textId="17E40E3C" w:rsidR="00541DD9" w:rsidRPr="00E56E55" w:rsidRDefault="00541DD9" w:rsidP="00605261">
            <w:pPr>
              <w:rPr>
                <w:b/>
                <w:bCs/>
                <w:sz w:val="20"/>
                <w:szCs w:val="20"/>
              </w:rPr>
            </w:pPr>
            <w:r w:rsidRPr="00E56E55">
              <w:rPr>
                <w:b/>
                <w:bCs/>
                <w:sz w:val="20"/>
                <w:szCs w:val="20"/>
              </w:rPr>
              <w:t>9.2</w:t>
            </w:r>
          </w:p>
        </w:tc>
        <w:tc>
          <w:tcPr>
            <w:tcW w:w="3044" w:type="dxa"/>
          </w:tcPr>
          <w:p w14:paraId="42913792" w14:textId="3EC36AE4" w:rsidR="00541DD9" w:rsidRPr="00E56E55" w:rsidRDefault="00541DD9" w:rsidP="00E56E55">
            <w:pPr>
              <w:pStyle w:val="NoSpacing"/>
              <w:rPr>
                <w:rFonts w:ascii="Asap" w:hAnsi="Asap"/>
                <w:b/>
                <w:bCs/>
                <w:sz w:val="20"/>
                <w:szCs w:val="20"/>
              </w:rPr>
            </w:pPr>
            <w:r w:rsidRPr="00E56E55">
              <w:rPr>
                <w:rFonts w:ascii="Asap" w:hAnsi="Asap"/>
                <w:b/>
                <w:bCs/>
                <w:sz w:val="20"/>
                <w:szCs w:val="20"/>
              </w:rPr>
              <w:t>Odour</w:t>
            </w:r>
          </w:p>
        </w:tc>
        <w:tc>
          <w:tcPr>
            <w:tcW w:w="5477" w:type="dxa"/>
            <w:tcBorders>
              <w:top w:val="single" w:sz="4" w:space="0" w:color="auto"/>
              <w:bottom w:val="single" w:sz="4" w:space="0" w:color="auto"/>
            </w:tcBorders>
          </w:tcPr>
          <w:p w14:paraId="580DBF8B" w14:textId="713D913E" w:rsidR="00541DD9" w:rsidRPr="00E56E55" w:rsidRDefault="00541DD9" w:rsidP="00605261">
            <w:pPr>
              <w:rPr>
                <w:sz w:val="20"/>
                <w:szCs w:val="20"/>
              </w:rPr>
            </w:pPr>
            <w:r w:rsidRPr="00E56E55">
              <w:rPr>
                <w:sz w:val="20"/>
                <w:szCs w:val="20"/>
              </w:rPr>
              <w:t>Almost odourless</w:t>
            </w:r>
          </w:p>
        </w:tc>
      </w:tr>
      <w:tr w:rsidR="00541DD9" w:rsidRPr="00E56E55" w14:paraId="2F14493D" w14:textId="77777777" w:rsidTr="00E56E55">
        <w:tc>
          <w:tcPr>
            <w:tcW w:w="495" w:type="dxa"/>
          </w:tcPr>
          <w:p w14:paraId="4139D36E" w14:textId="0F9B5D54" w:rsidR="00541DD9" w:rsidRPr="00E56E55" w:rsidRDefault="00541DD9" w:rsidP="00605261">
            <w:pPr>
              <w:rPr>
                <w:b/>
                <w:bCs/>
                <w:sz w:val="20"/>
                <w:szCs w:val="20"/>
              </w:rPr>
            </w:pPr>
            <w:r w:rsidRPr="00E56E55">
              <w:rPr>
                <w:b/>
                <w:bCs/>
                <w:sz w:val="20"/>
                <w:szCs w:val="20"/>
              </w:rPr>
              <w:t>9.3</w:t>
            </w:r>
          </w:p>
        </w:tc>
        <w:tc>
          <w:tcPr>
            <w:tcW w:w="3044" w:type="dxa"/>
          </w:tcPr>
          <w:p w14:paraId="6270FB26" w14:textId="4B6CEBD0" w:rsidR="00541DD9" w:rsidRPr="00E56E55" w:rsidRDefault="00541DD9" w:rsidP="00605261">
            <w:pPr>
              <w:rPr>
                <w:b/>
                <w:sz w:val="20"/>
                <w:szCs w:val="20"/>
              </w:rPr>
            </w:pPr>
            <w:r w:rsidRPr="00E56E55">
              <w:rPr>
                <w:b/>
                <w:sz w:val="20"/>
                <w:szCs w:val="20"/>
              </w:rPr>
              <w:t>Flash Point</w:t>
            </w:r>
          </w:p>
        </w:tc>
        <w:tc>
          <w:tcPr>
            <w:tcW w:w="5477" w:type="dxa"/>
            <w:tcBorders>
              <w:top w:val="single" w:sz="4" w:space="0" w:color="auto"/>
              <w:bottom w:val="single" w:sz="4" w:space="0" w:color="auto"/>
            </w:tcBorders>
          </w:tcPr>
          <w:p w14:paraId="235FD8FE" w14:textId="08606656" w:rsidR="00541DD9" w:rsidRPr="00E56E55" w:rsidRDefault="00541DD9" w:rsidP="00605261">
            <w:pPr>
              <w:rPr>
                <w:sz w:val="20"/>
                <w:szCs w:val="20"/>
              </w:rPr>
            </w:pPr>
            <w:r w:rsidRPr="00E56E55">
              <w:rPr>
                <w:sz w:val="20"/>
                <w:szCs w:val="20"/>
              </w:rPr>
              <w:t>Boils without flashing</w:t>
            </w:r>
          </w:p>
        </w:tc>
      </w:tr>
      <w:tr w:rsidR="00541DD9" w:rsidRPr="00E56E55" w14:paraId="5F4F6648" w14:textId="77777777" w:rsidTr="00E56E55">
        <w:tc>
          <w:tcPr>
            <w:tcW w:w="495" w:type="dxa"/>
          </w:tcPr>
          <w:p w14:paraId="31BB5431" w14:textId="1492C43A" w:rsidR="00541DD9" w:rsidRPr="00E56E55" w:rsidRDefault="00541DD9" w:rsidP="00605261">
            <w:pPr>
              <w:rPr>
                <w:b/>
                <w:bCs/>
                <w:sz w:val="20"/>
                <w:szCs w:val="20"/>
              </w:rPr>
            </w:pPr>
            <w:r w:rsidRPr="00E56E55">
              <w:rPr>
                <w:b/>
                <w:bCs/>
                <w:sz w:val="20"/>
                <w:szCs w:val="20"/>
              </w:rPr>
              <w:t>9.4</w:t>
            </w:r>
          </w:p>
        </w:tc>
        <w:tc>
          <w:tcPr>
            <w:tcW w:w="3044" w:type="dxa"/>
          </w:tcPr>
          <w:p w14:paraId="7A999D36" w14:textId="3C996119" w:rsidR="00541DD9" w:rsidRPr="00E56E55" w:rsidRDefault="00541DD9" w:rsidP="00605261">
            <w:pPr>
              <w:rPr>
                <w:b/>
                <w:sz w:val="20"/>
                <w:szCs w:val="20"/>
              </w:rPr>
            </w:pPr>
            <w:r w:rsidRPr="00E56E55">
              <w:rPr>
                <w:b/>
                <w:sz w:val="20"/>
                <w:szCs w:val="20"/>
              </w:rPr>
              <w:t>Ignition Temperature</w:t>
            </w:r>
          </w:p>
        </w:tc>
        <w:tc>
          <w:tcPr>
            <w:tcW w:w="5477" w:type="dxa"/>
            <w:tcBorders>
              <w:top w:val="single" w:sz="4" w:space="0" w:color="auto"/>
              <w:bottom w:val="single" w:sz="4" w:space="0" w:color="auto"/>
            </w:tcBorders>
          </w:tcPr>
          <w:p w14:paraId="72311068" w14:textId="52BCA99E" w:rsidR="00541DD9" w:rsidRPr="00E56E55" w:rsidRDefault="00541DD9" w:rsidP="00605261">
            <w:pPr>
              <w:rPr>
                <w:sz w:val="20"/>
                <w:szCs w:val="20"/>
              </w:rPr>
            </w:pPr>
            <w:r w:rsidRPr="00E56E55">
              <w:rPr>
                <w:sz w:val="20"/>
                <w:szCs w:val="20"/>
              </w:rPr>
              <w:t>Not available</w:t>
            </w:r>
          </w:p>
        </w:tc>
      </w:tr>
      <w:tr w:rsidR="00541DD9" w:rsidRPr="00E56E55" w14:paraId="24EE73D6" w14:textId="77777777" w:rsidTr="00E56E55">
        <w:tc>
          <w:tcPr>
            <w:tcW w:w="495" w:type="dxa"/>
          </w:tcPr>
          <w:p w14:paraId="73EA6397" w14:textId="66DAB5E1" w:rsidR="00541DD9" w:rsidRPr="00E56E55" w:rsidRDefault="00541DD9" w:rsidP="00605261">
            <w:pPr>
              <w:rPr>
                <w:b/>
                <w:bCs/>
                <w:sz w:val="20"/>
                <w:szCs w:val="20"/>
              </w:rPr>
            </w:pPr>
            <w:r w:rsidRPr="00E56E55">
              <w:rPr>
                <w:b/>
                <w:bCs/>
                <w:sz w:val="20"/>
                <w:szCs w:val="20"/>
              </w:rPr>
              <w:t>9.5</w:t>
            </w:r>
          </w:p>
        </w:tc>
        <w:tc>
          <w:tcPr>
            <w:tcW w:w="3044" w:type="dxa"/>
          </w:tcPr>
          <w:p w14:paraId="01FB925E" w14:textId="3A9445F0" w:rsidR="00541DD9" w:rsidRPr="00E56E55" w:rsidRDefault="00541DD9" w:rsidP="00605261">
            <w:pPr>
              <w:rPr>
                <w:b/>
                <w:sz w:val="20"/>
                <w:szCs w:val="20"/>
              </w:rPr>
            </w:pPr>
            <w:r w:rsidRPr="00E56E55">
              <w:rPr>
                <w:b/>
                <w:sz w:val="20"/>
                <w:szCs w:val="20"/>
              </w:rPr>
              <w:t>Flammability Limit</w:t>
            </w:r>
          </w:p>
        </w:tc>
        <w:tc>
          <w:tcPr>
            <w:tcW w:w="5477" w:type="dxa"/>
            <w:tcBorders>
              <w:top w:val="single" w:sz="4" w:space="0" w:color="auto"/>
              <w:bottom w:val="single" w:sz="4" w:space="0" w:color="auto"/>
            </w:tcBorders>
          </w:tcPr>
          <w:p w14:paraId="2B2AD307" w14:textId="2AA24A1B" w:rsidR="00541DD9" w:rsidRPr="00E56E55" w:rsidRDefault="00541DD9" w:rsidP="00605261">
            <w:pPr>
              <w:rPr>
                <w:sz w:val="20"/>
                <w:szCs w:val="20"/>
              </w:rPr>
            </w:pPr>
            <w:r w:rsidRPr="00E56E55">
              <w:rPr>
                <w:sz w:val="20"/>
                <w:szCs w:val="20"/>
              </w:rPr>
              <w:t>Not available</w:t>
            </w:r>
          </w:p>
        </w:tc>
      </w:tr>
      <w:tr w:rsidR="00541DD9" w:rsidRPr="00E56E55" w14:paraId="4CAD1AEE" w14:textId="77777777" w:rsidTr="00E56E55">
        <w:tc>
          <w:tcPr>
            <w:tcW w:w="495" w:type="dxa"/>
          </w:tcPr>
          <w:p w14:paraId="158F8C35" w14:textId="2A1EB0E3" w:rsidR="00541DD9" w:rsidRPr="00E56E55" w:rsidRDefault="00541DD9" w:rsidP="00605261">
            <w:pPr>
              <w:rPr>
                <w:b/>
                <w:bCs/>
                <w:sz w:val="20"/>
                <w:szCs w:val="20"/>
              </w:rPr>
            </w:pPr>
            <w:r w:rsidRPr="00E56E55">
              <w:rPr>
                <w:b/>
                <w:bCs/>
                <w:sz w:val="20"/>
                <w:szCs w:val="20"/>
              </w:rPr>
              <w:t>9.6</w:t>
            </w:r>
          </w:p>
        </w:tc>
        <w:tc>
          <w:tcPr>
            <w:tcW w:w="3044" w:type="dxa"/>
          </w:tcPr>
          <w:p w14:paraId="3F027C76" w14:textId="22F503CD" w:rsidR="00541DD9" w:rsidRPr="00E56E55" w:rsidRDefault="00541DD9" w:rsidP="00605261">
            <w:pPr>
              <w:rPr>
                <w:b/>
                <w:sz w:val="20"/>
                <w:szCs w:val="20"/>
              </w:rPr>
            </w:pPr>
            <w:r w:rsidRPr="00E56E55">
              <w:rPr>
                <w:b/>
                <w:sz w:val="20"/>
                <w:szCs w:val="20"/>
              </w:rPr>
              <w:t>Oxidizing Properties</w:t>
            </w:r>
          </w:p>
        </w:tc>
        <w:tc>
          <w:tcPr>
            <w:tcW w:w="5477" w:type="dxa"/>
            <w:tcBorders>
              <w:top w:val="single" w:sz="4" w:space="0" w:color="auto"/>
              <w:bottom w:val="single" w:sz="4" w:space="0" w:color="auto"/>
            </w:tcBorders>
          </w:tcPr>
          <w:p w14:paraId="5D6D7EFA" w14:textId="6A294D16" w:rsidR="00541DD9" w:rsidRPr="00E56E55" w:rsidRDefault="00541DD9" w:rsidP="00605261">
            <w:pPr>
              <w:rPr>
                <w:sz w:val="20"/>
                <w:szCs w:val="20"/>
              </w:rPr>
            </w:pPr>
            <w:r w:rsidRPr="00E56E55">
              <w:rPr>
                <w:sz w:val="20"/>
                <w:szCs w:val="20"/>
              </w:rPr>
              <w:t>Not available</w:t>
            </w:r>
          </w:p>
        </w:tc>
      </w:tr>
      <w:tr w:rsidR="00541DD9" w:rsidRPr="00E56E55" w14:paraId="516EB2D5" w14:textId="77777777" w:rsidTr="00E56E55">
        <w:tc>
          <w:tcPr>
            <w:tcW w:w="495" w:type="dxa"/>
          </w:tcPr>
          <w:p w14:paraId="0B367CFD" w14:textId="719EDBE4" w:rsidR="00541DD9" w:rsidRPr="00E56E55" w:rsidRDefault="00541DD9" w:rsidP="00605261">
            <w:pPr>
              <w:rPr>
                <w:b/>
                <w:bCs/>
                <w:sz w:val="20"/>
                <w:szCs w:val="20"/>
              </w:rPr>
            </w:pPr>
            <w:r w:rsidRPr="00E56E55">
              <w:rPr>
                <w:b/>
                <w:bCs/>
                <w:sz w:val="20"/>
                <w:szCs w:val="20"/>
              </w:rPr>
              <w:t>9.7</w:t>
            </w:r>
          </w:p>
        </w:tc>
        <w:tc>
          <w:tcPr>
            <w:tcW w:w="3044" w:type="dxa"/>
          </w:tcPr>
          <w:p w14:paraId="4465BC6B" w14:textId="752468AE" w:rsidR="00541DD9" w:rsidRPr="00E56E55" w:rsidRDefault="00541DD9" w:rsidP="00605261">
            <w:pPr>
              <w:rPr>
                <w:b/>
                <w:sz w:val="20"/>
                <w:szCs w:val="20"/>
              </w:rPr>
            </w:pPr>
            <w:r w:rsidRPr="00E56E55">
              <w:rPr>
                <w:b/>
                <w:sz w:val="20"/>
                <w:szCs w:val="20"/>
              </w:rPr>
              <w:t xml:space="preserve">Auto flammability </w:t>
            </w:r>
          </w:p>
        </w:tc>
        <w:tc>
          <w:tcPr>
            <w:tcW w:w="5477" w:type="dxa"/>
            <w:tcBorders>
              <w:top w:val="single" w:sz="4" w:space="0" w:color="auto"/>
              <w:bottom w:val="single" w:sz="4" w:space="0" w:color="auto"/>
            </w:tcBorders>
          </w:tcPr>
          <w:p w14:paraId="0DFA2BCB" w14:textId="48AE9179" w:rsidR="00541DD9" w:rsidRPr="00E56E55" w:rsidRDefault="00541DD9" w:rsidP="00605261">
            <w:pPr>
              <w:rPr>
                <w:sz w:val="20"/>
                <w:szCs w:val="20"/>
              </w:rPr>
            </w:pPr>
            <w:r w:rsidRPr="00E56E55">
              <w:rPr>
                <w:sz w:val="20"/>
                <w:szCs w:val="20"/>
              </w:rPr>
              <w:t>450°C</w:t>
            </w:r>
          </w:p>
        </w:tc>
      </w:tr>
      <w:tr w:rsidR="00541DD9" w:rsidRPr="00E56E55" w14:paraId="03B9D5C8" w14:textId="77777777" w:rsidTr="00E56E55">
        <w:tc>
          <w:tcPr>
            <w:tcW w:w="495" w:type="dxa"/>
          </w:tcPr>
          <w:p w14:paraId="567A9EB3" w14:textId="7BA1EE7B" w:rsidR="00541DD9" w:rsidRPr="00E56E55" w:rsidRDefault="00541DD9" w:rsidP="00605261">
            <w:pPr>
              <w:rPr>
                <w:b/>
                <w:bCs/>
                <w:sz w:val="20"/>
                <w:szCs w:val="20"/>
              </w:rPr>
            </w:pPr>
            <w:r w:rsidRPr="00E56E55">
              <w:rPr>
                <w:b/>
                <w:bCs/>
                <w:sz w:val="20"/>
                <w:szCs w:val="20"/>
              </w:rPr>
              <w:t>9.8</w:t>
            </w:r>
          </w:p>
        </w:tc>
        <w:tc>
          <w:tcPr>
            <w:tcW w:w="3044" w:type="dxa"/>
          </w:tcPr>
          <w:p w14:paraId="39271950" w14:textId="73324F66" w:rsidR="00541DD9" w:rsidRPr="00E56E55" w:rsidRDefault="00541DD9" w:rsidP="00605261">
            <w:pPr>
              <w:rPr>
                <w:b/>
                <w:sz w:val="20"/>
                <w:szCs w:val="20"/>
              </w:rPr>
            </w:pPr>
            <w:r w:rsidRPr="00E56E55">
              <w:rPr>
                <w:b/>
                <w:sz w:val="20"/>
                <w:szCs w:val="20"/>
              </w:rPr>
              <w:t>Density at 25°C</w:t>
            </w:r>
          </w:p>
        </w:tc>
        <w:tc>
          <w:tcPr>
            <w:tcW w:w="5477" w:type="dxa"/>
            <w:tcBorders>
              <w:top w:val="single" w:sz="4" w:space="0" w:color="auto"/>
              <w:bottom w:val="single" w:sz="4" w:space="0" w:color="auto"/>
            </w:tcBorders>
          </w:tcPr>
          <w:p w14:paraId="2C02D533" w14:textId="29062036" w:rsidR="00541DD9" w:rsidRPr="00E56E55" w:rsidRDefault="00541DD9" w:rsidP="00605261">
            <w:pPr>
              <w:rPr>
                <w:sz w:val="20"/>
                <w:szCs w:val="20"/>
              </w:rPr>
            </w:pPr>
            <w:r w:rsidRPr="00E56E55">
              <w:rPr>
                <w:sz w:val="20"/>
                <w:szCs w:val="20"/>
              </w:rPr>
              <w:t>~1.036g/cm</w:t>
            </w:r>
            <w:r w:rsidRPr="00E56E55">
              <w:rPr>
                <w:sz w:val="20"/>
                <w:szCs w:val="20"/>
                <w:vertAlign w:val="superscript"/>
              </w:rPr>
              <w:t>3</w:t>
            </w:r>
          </w:p>
        </w:tc>
      </w:tr>
      <w:tr w:rsidR="00541DD9" w:rsidRPr="00E56E55" w14:paraId="511BB017" w14:textId="77777777" w:rsidTr="00E56E55">
        <w:tc>
          <w:tcPr>
            <w:tcW w:w="495" w:type="dxa"/>
          </w:tcPr>
          <w:p w14:paraId="4E8EE37A" w14:textId="6A276564" w:rsidR="00541DD9" w:rsidRPr="00E56E55" w:rsidRDefault="00541DD9" w:rsidP="00605261">
            <w:pPr>
              <w:rPr>
                <w:b/>
                <w:bCs/>
                <w:sz w:val="20"/>
                <w:szCs w:val="20"/>
              </w:rPr>
            </w:pPr>
            <w:r w:rsidRPr="00E56E55">
              <w:rPr>
                <w:b/>
                <w:bCs/>
                <w:sz w:val="20"/>
                <w:szCs w:val="20"/>
              </w:rPr>
              <w:t>9.9</w:t>
            </w:r>
          </w:p>
        </w:tc>
        <w:tc>
          <w:tcPr>
            <w:tcW w:w="3044" w:type="dxa"/>
          </w:tcPr>
          <w:p w14:paraId="5AB9AD04" w14:textId="34AFB160" w:rsidR="00541DD9" w:rsidRPr="00E56E55" w:rsidRDefault="00541DD9" w:rsidP="00605261">
            <w:pPr>
              <w:rPr>
                <w:b/>
                <w:sz w:val="20"/>
                <w:szCs w:val="20"/>
              </w:rPr>
            </w:pPr>
            <w:r w:rsidRPr="00E56E55">
              <w:rPr>
                <w:b/>
                <w:sz w:val="20"/>
                <w:szCs w:val="20"/>
              </w:rPr>
              <w:t>pH (as is)</w:t>
            </w:r>
          </w:p>
        </w:tc>
        <w:tc>
          <w:tcPr>
            <w:tcW w:w="5477" w:type="dxa"/>
            <w:tcBorders>
              <w:top w:val="single" w:sz="4" w:space="0" w:color="auto"/>
              <w:bottom w:val="single" w:sz="4" w:space="0" w:color="auto"/>
            </w:tcBorders>
          </w:tcPr>
          <w:p w14:paraId="202F494C" w14:textId="36A17BDC" w:rsidR="00541DD9" w:rsidRPr="00E56E55" w:rsidRDefault="00E56E55" w:rsidP="00605261">
            <w:pPr>
              <w:rPr>
                <w:sz w:val="20"/>
                <w:szCs w:val="20"/>
              </w:rPr>
            </w:pPr>
            <w:r w:rsidRPr="00E56E55">
              <w:rPr>
                <w:sz w:val="20"/>
                <w:szCs w:val="20"/>
              </w:rPr>
              <w:t>9.4</w:t>
            </w:r>
          </w:p>
        </w:tc>
      </w:tr>
      <w:tr w:rsidR="00541DD9" w:rsidRPr="00E56E55" w14:paraId="40297CDF" w14:textId="77777777" w:rsidTr="00E56E55">
        <w:tc>
          <w:tcPr>
            <w:tcW w:w="495" w:type="dxa"/>
          </w:tcPr>
          <w:p w14:paraId="32B6A627" w14:textId="19748049" w:rsidR="00541DD9" w:rsidRPr="00E56E55" w:rsidRDefault="00541DD9" w:rsidP="00605261">
            <w:pPr>
              <w:rPr>
                <w:b/>
                <w:bCs/>
                <w:sz w:val="20"/>
                <w:szCs w:val="20"/>
              </w:rPr>
            </w:pPr>
            <w:r w:rsidRPr="00E56E55">
              <w:rPr>
                <w:b/>
                <w:bCs/>
                <w:sz w:val="20"/>
                <w:szCs w:val="20"/>
              </w:rPr>
              <w:t>9.10</w:t>
            </w:r>
          </w:p>
        </w:tc>
        <w:tc>
          <w:tcPr>
            <w:tcW w:w="3044" w:type="dxa"/>
          </w:tcPr>
          <w:p w14:paraId="2410EC87" w14:textId="56661EDD" w:rsidR="00541DD9" w:rsidRPr="00E56E55" w:rsidRDefault="00A90D01" w:rsidP="00605261">
            <w:pPr>
              <w:rPr>
                <w:b/>
                <w:sz w:val="20"/>
                <w:szCs w:val="20"/>
              </w:rPr>
            </w:pPr>
            <w:r w:rsidRPr="00E56E55">
              <w:rPr>
                <w:b/>
                <w:sz w:val="20"/>
                <w:szCs w:val="20"/>
              </w:rPr>
              <w:t>Boiling point</w:t>
            </w:r>
          </w:p>
        </w:tc>
        <w:tc>
          <w:tcPr>
            <w:tcW w:w="5477" w:type="dxa"/>
            <w:tcBorders>
              <w:top w:val="single" w:sz="4" w:space="0" w:color="auto"/>
              <w:bottom w:val="single" w:sz="4" w:space="0" w:color="auto"/>
            </w:tcBorders>
          </w:tcPr>
          <w:p w14:paraId="384EC006" w14:textId="31547B61" w:rsidR="00541DD9" w:rsidRPr="00E56E55" w:rsidRDefault="00A90D01" w:rsidP="00605261">
            <w:pPr>
              <w:rPr>
                <w:sz w:val="20"/>
                <w:szCs w:val="20"/>
              </w:rPr>
            </w:pPr>
            <w:r w:rsidRPr="00E56E55">
              <w:rPr>
                <w:sz w:val="20"/>
                <w:szCs w:val="20"/>
              </w:rPr>
              <w:t>102°C</w:t>
            </w:r>
          </w:p>
        </w:tc>
      </w:tr>
      <w:tr w:rsidR="00A90D01" w:rsidRPr="00E56E55" w14:paraId="099C6388" w14:textId="77777777" w:rsidTr="00E56E55">
        <w:tc>
          <w:tcPr>
            <w:tcW w:w="495" w:type="dxa"/>
          </w:tcPr>
          <w:p w14:paraId="489E1A74" w14:textId="20468639" w:rsidR="00A90D01" w:rsidRPr="00E56E55" w:rsidRDefault="00A90D01" w:rsidP="00605261">
            <w:pPr>
              <w:rPr>
                <w:b/>
                <w:bCs/>
                <w:sz w:val="20"/>
                <w:szCs w:val="20"/>
              </w:rPr>
            </w:pPr>
            <w:r w:rsidRPr="00E56E55">
              <w:rPr>
                <w:b/>
                <w:bCs/>
                <w:sz w:val="20"/>
                <w:szCs w:val="20"/>
              </w:rPr>
              <w:t>9.11</w:t>
            </w:r>
          </w:p>
        </w:tc>
        <w:tc>
          <w:tcPr>
            <w:tcW w:w="3044" w:type="dxa"/>
          </w:tcPr>
          <w:p w14:paraId="74699F4A" w14:textId="4CC1D781" w:rsidR="00A90D01" w:rsidRPr="00E56E55" w:rsidRDefault="00A90D01" w:rsidP="00605261">
            <w:pPr>
              <w:rPr>
                <w:b/>
                <w:sz w:val="20"/>
                <w:szCs w:val="20"/>
              </w:rPr>
            </w:pPr>
            <w:r w:rsidRPr="00E56E55">
              <w:rPr>
                <w:b/>
                <w:sz w:val="20"/>
                <w:szCs w:val="20"/>
              </w:rPr>
              <w:t>Solubility in water</w:t>
            </w:r>
          </w:p>
        </w:tc>
        <w:tc>
          <w:tcPr>
            <w:tcW w:w="5477" w:type="dxa"/>
            <w:tcBorders>
              <w:top w:val="single" w:sz="4" w:space="0" w:color="auto"/>
              <w:bottom w:val="single" w:sz="4" w:space="0" w:color="auto"/>
            </w:tcBorders>
          </w:tcPr>
          <w:p w14:paraId="1310E135" w14:textId="77052392" w:rsidR="00A90D01" w:rsidRPr="00E56E55" w:rsidRDefault="00A90D01" w:rsidP="00605261">
            <w:pPr>
              <w:rPr>
                <w:sz w:val="20"/>
                <w:szCs w:val="20"/>
              </w:rPr>
            </w:pPr>
            <w:r w:rsidRPr="00E56E55">
              <w:rPr>
                <w:sz w:val="20"/>
                <w:szCs w:val="20"/>
              </w:rPr>
              <w:t>Miscible</w:t>
            </w:r>
          </w:p>
        </w:tc>
      </w:tr>
      <w:tr w:rsidR="00A90D01" w:rsidRPr="00E56E55" w14:paraId="37D801ED" w14:textId="77777777" w:rsidTr="00E56E55">
        <w:tc>
          <w:tcPr>
            <w:tcW w:w="495" w:type="dxa"/>
          </w:tcPr>
          <w:p w14:paraId="0EE2E1B4" w14:textId="46DF888E" w:rsidR="00A90D01" w:rsidRPr="00E56E55" w:rsidRDefault="00A90D01" w:rsidP="00605261">
            <w:pPr>
              <w:rPr>
                <w:b/>
                <w:bCs/>
                <w:sz w:val="20"/>
                <w:szCs w:val="20"/>
              </w:rPr>
            </w:pPr>
            <w:r w:rsidRPr="00E56E55">
              <w:rPr>
                <w:b/>
                <w:bCs/>
                <w:sz w:val="20"/>
                <w:szCs w:val="20"/>
              </w:rPr>
              <w:t>9.12</w:t>
            </w:r>
          </w:p>
        </w:tc>
        <w:tc>
          <w:tcPr>
            <w:tcW w:w="3044" w:type="dxa"/>
          </w:tcPr>
          <w:p w14:paraId="30F95F14" w14:textId="6A2C1C56" w:rsidR="00A90D01" w:rsidRPr="00E56E55" w:rsidRDefault="00A90D01" w:rsidP="00605261">
            <w:pPr>
              <w:rPr>
                <w:b/>
                <w:sz w:val="20"/>
                <w:szCs w:val="20"/>
              </w:rPr>
            </w:pPr>
            <w:r w:rsidRPr="00E56E55">
              <w:rPr>
                <w:b/>
                <w:sz w:val="20"/>
                <w:szCs w:val="20"/>
              </w:rPr>
              <w:t>Freezing point</w:t>
            </w:r>
          </w:p>
        </w:tc>
        <w:tc>
          <w:tcPr>
            <w:tcW w:w="5477" w:type="dxa"/>
            <w:tcBorders>
              <w:top w:val="single" w:sz="4" w:space="0" w:color="auto"/>
              <w:bottom w:val="single" w:sz="4" w:space="0" w:color="auto"/>
            </w:tcBorders>
          </w:tcPr>
          <w:p w14:paraId="69C14DF1" w14:textId="73136214" w:rsidR="00A90D01" w:rsidRPr="00E56E55" w:rsidRDefault="00A90D01" w:rsidP="00605261">
            <w:pPr>
              <w:rPr>
                <w:sz w:val="20"/>
                <w:szCs w:val="20"/>
              </w:rPr>
            </w:pPr>
            <w:r w:rsidRPr="00E56E55">
              <w:rPr>
                <w:sz w:val="20"/>
                <w:szCs w:val="20"/>
              </w:rPr>
              <w:t>-21°C</w:t>
            </w:r>
          </w:p>
        </w:tc>
      </w:tr>
      <w:tr w:rsidR="00A90D01" w:rsidRPr="00E56E55" w14:paraId="21892595" w14:textId="77777777" w:rsidTr="00E56E55">
        <w:tc>
          <w:tcPr>
            <w:tcW w:w="495" w:type="dxa"/>
          </w:tcPr>
          <w:p w14:paraId="1E54D7D3" w14:textId="4239C22B" w:rsidR="00A90D01" w:rsidRPr="00E56E55" w:rsidRDefault="00A90D01" w:rsidP="00605261">
            <w:pPr>
              <w:rPr>
                <w:b/>
                <w:bCs/>
                <w:sz w:val="20"/>
                <w:szCs w:val="20"/>
              </w:rPr>
            </w:pPr>
            <w:r w:rsidRPr="00E56E55">
              <w:rPr>
                <w:b/>
                <w:bCs/>
                <w:sz w:val="20"/>
                <w:szCs w:val="20"/>
              </w:rPr>
              <w:t>9.13</w:t>
            </w:r>
          </w:p>
        </w:tc>
        <w:tc>
          <w:tcPr>
            <w:tcW w:w="3044" w:type="dxa"/>
          </w:tcPr>
          <w:p w14:paraId="37E86DF4" w14:textId="4146B291" w:rsidR="00A90D01" w:rsidRPr="00E56E55" w:rsidRDefault="00A90D01" w:rsidP="00605261">
            <w:pPr>
              <w:rPr>
                <w:b/>
                <w:sz w:val="20"/>
                <w:szCs w:val="20"/>
              </w:rPr>
            </w:pPr>
            <w:r w:rsidRPr="00E56E55">
              <w:rPr>
                <w:b/>
                <w:sz w:val="20"/>
                <w:szCs w:val="20"/>
              </w:rPr>
              <w:t>Specific Heat Capacity</w:t>
            </w:r>
          </w:p>
        </w:tc>
        <w:tc>
          <w:tcPr>
            <w:tcW w:w="5477" w:type="dxa"/>
            <w:tcBorders>
              <w:top w:val="single" w:sz="4" w:space="0" w:color="auto"/>
              <w:bottom w:val="single" w:sz="4" w:space="0" w:color="auto"/>
            </w:tcBorders>
          </w:tcPr>
          <w:p w14:paraId="6ACEFB3C" w14:textId="183B1EA9" w:rsidR="00A90D01" w:rsidRPr="00E56E55" w:rsidRDefault="00A90D01" w:rsidP="00605261">
            <w:pPr>
              <w:rPr>
                <w:sz w:val="20"/>
                <w:szCs w:val="20"/>
              </w:rPr>
            </w:pPr>
            <w:r w:rsidRPr="00E56E55">
              <w:rPr>
                <w:rFonts w:cs="Tahoma"/>
                <w:sz w:val="20"/>
                <w:szCs w:val="20"/>
              </w:rPr>
              <w:t>3.78kJ/kg °K</w:t>
            </w:r>
          </w:p>
        </w:tc>
      </w:tr>
      <w:tr w:rsidR="00A90D01" w:rsidRPr="00E56E55" w14:paraId="30559767" w14:textId="77777777" w:rsidTr="00E56E55">
        <w:tc>
          <w:tcPr>
            <w:tcW w:w="495" w:type="dxa"/>
          </w:tcPr>
          <w:p w14:paraId="47BA4A38" w14:textId="2B035948" w:rsidR="00A90D01" w:rsidRPr="00E56E55" w:rsidRDefault="00A90D01" w:rsidP="00605261">
            <w:pPr>
              <w:rPr>
                <w:b/>
                <w:bCs/>
                <w:sz w:val="20"/>
                <w:szCs w:val="20"/>
              </w:rPr>
            </w:pPr>
            <w:r w:rsidRPr="00E56E55">
              <w:rPr>
                <w:b/>
                <w:bCs/>
                <w:sz w:val="20"/>
                <w:szCs w:val="20"/>
              </w:rPr>
              <w:t>9.14</w:t>
            </w:r>
          </w:p>
        </w:tc>
        <w:tc>
          <w:tcPr>
            <w:tcW w:w="3044" w:type="dxa"/>
          </w:tcPr>
          <w:p w14:paraId="50BE1E62" w14:textId="2452689F" w:rsidR="00A90D01" w:rsidRPr="00E56E55" w:rsidRDefault="00A90D01" w:rsidP="00605261">
            <w:pPr>
              <w:rPr>
                <w:b/>
                <w:sz w:val="20"/>
                <w:szCs w:val="20"/>
              </w:rPr>
            </w:pPr>
            <w:r w:rsidRPr="00E56E55">
              <w:rPr>
                <w:b/>
                <w:sz w:val="20"/>
                <w:szCs w:val="20"/>
              </w:rPr>
              <w:t xml:space="preserve">Viscosity, Kinetic, at 25°C     </w:t>
            </w:r>
          </w:p>
        </w:tc>
        <w:tc>
          <w:tcPr>
            <w:tcW w:w="5477" w:type="dxa"/>
            <w:tcBorders>
              <w:top w:val="single" w:sz="4" w:space="0" w:color="auto"/>
            </w:tcBorders>
          </w:tcPr>
          <w:p w14:paraId="28A07FDA" w14:textId="1BB9C9CF" w:rsidR="00A90D01" w:rsidRPr="00E56E55" w:rsidRDefault="00A90D01" w:rsidP="00605261">
            <w:pPr>
              <w:rPr>
                <w:rFonts w:cs="Tahoma"/>
                <w:sz w:val="20"/>
                <w:szCs w:val="20"/>
              </w:rPr>
            </w:pPr>
            <w:r w:rsidRPr="00E56E55">
              <w:rPr>
                <w:rFonts w:cs="Tahoma"/>
                <w:sz w:val="20"/>
                <w:szCs w:val="20"/>
              </w:rPr>
              <w:t>3.51mPas</w:t>
            </w:r>
          </w:p>
        </w:tc>
      </w:tr>
    </w:tbl>
    <w:p w14:paraId="384A6F25" w14:textId="29640911" w:rsidR="00506915" w:rsidRPr="00E56E55" w:rsidRDefault="00506915" w:rsidP="00541DD9">
      <w:pPr>
        <w:spacing w:after="0"/>
        <w:rPr>
          <w:sz w:val="20"/>
          <w:szCs w:val="20"/>
        </w:rPr>
      </w:pPr>
    </w:p>
    <w:p w14:paraId="7DBC9163" w14:textId="77777777" w:rsidR="00506915" w:rsidRPr="00E56E55" w:rsidRDefault="00506915">
      <w:pPr>
        <w:rPr>
          <w:sz w:val="20"/>
          <w:szCs w:val="20"/>
        </w:rPr>
      </w:pPr>
      <w:r w:rsidRPr="00E56E55">
        <w:rPr>
          <w:sz w:val="20"/>
          <w:szCs w:val="20"/>
        </w:rPr>
        <w:br w:type="page"/>
      </w:r>
    </w:p>
    <w:p w14:paraId="4622765B" w14:textId="42454D33" w:rsidR="00506915" w:rsidRPr="00E56E55" w:rsidRDefault="00506915" w:rsidP="00506915">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lastRenderedPageBreak/>
        <w:t>SECTION 10: STABILITY AND REACTIVITY</w:t>
      </w:r>
    </w:p>
    <w:p w14:paraId="33235069" w14:textId="77777777" w:rsidR="00506915" w:rsidRPr="00E56E55" w:rsidRDefault="00506915" w:rsidP="00506915">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025"/>
        <w:gridCol w:w="5427"/>
      </w:tblGrid>
      <w:tr w:rsidR="00506915" w:rsidRPr="00E56E55" w14:paraId="55879648" w14:textId="77777777" w:rsidTr="00E56E55">
        <w:tc>
          <w:tcPr>
            <w:tcW w:w="495" w:type="dxa"/>
          </w:tcPr>
          <w:p w14:paraId="6CD08D54" w14:textId="1F56C7F2" w:rsidR="00506915" w:rsidRPr="00E56E55" w:rsidRDefault="00506915" w:rsidP="00912BC2">
            <w:pPr>
              <w:rPr>
                <w:b/>
                <w:bCs/>
                <w:sz w:val="20"/>
                <w:szCs w:val="20"/>
              </w:rPr>
            </w:pPr>
            <w:r w:rsidRPr="00E56E55">
              <w:rPr>
                <w:b/>
                <w:bCs/>
                <w:sz w:val="20"/>
                <w:szCs w:val="20"/>
              </w:rPr>
              <w:t>10.1</w:t>
            </w:r>
          </w:p>
        </w:tc>
        <w:tc>
          <w:tcPr>
            <w:tcW w:w="3044" w:type="dxa"/>
          </w:tcPr>
          <w:p w14:paraId="17CAD0C5" w14:textId="2034FB73" w:rsidR="00506915" w:rsidRPr="00E56E55" w:rsidRDefault="00506915" w:rsidP="00912BC2">
            <w:pPr>
              <w:rPr>
                <w:sz w:val="20"/>
                <w:szCs w:val="20"/>
              </w:rPr>
            </w:pPr>
            <w:r w:rsidRPr="00E56E55">
              <w:rPr>
                <w:b/>
                <w:sz w:val="20"/>
                <w:szCs w:val="20"/>
              </w:rPr>
              <w:t>Reactivity</w:t>
            </w:r>
          </w:p>
        </w:tc>
        <w:tc>
          <w:tcPr>
            <w:tcW w:w="5477" w:type="dxa"/>
            <w:tcBorders>
              <w:bottom w:val="single" w:sz="4" w:space="0" w:color="auto"/>
            </w:tcBorders>
          </w:tcPr>
          <w:p w14:paraId="37F1E269" w14:textId="3098A2E2" w:rsidR="00506915" w:rsidRPr="00E56E55" w:rsidRDefault="00506915" w:rsidP="00912BC2">
            <w:pPr>
              <w:rPr>
                <w:sz w:val="20"/>
                <w:szCs w:val="20"/>
              </w:rPr>
            </w:pPr>
            <w:r w:rsidRPr="00E56E55">
              <w:rPr>
                <w:sz w:val="20"/>
                <w:szCs w:val="20"/>
              </w:rPr>
              <w:t>Stable under recommended storage conditions. No dangerous reaction known under conditions of normal use.</w:t>
            </w:r>
          </w:p>
        </w:tc>
      </w:tr>
      <w:tr w:rsidR="00506915" w:rsidRPr="00E56E55" w14:paraId="47E8CFDE" w14:textId="77777777" w:rsidTr="00E56E55">
        <w:tc>
          <w:tcPr>
            <w:tcW w:w="495" w:type="dxa"/>
          </w:tcPr>
          <w:p w14:paraId="4D9D3494" w14:textId="5B7ED4A6" w:rsidR="00506915" w:rsidRPr="00E56E55" w:rsidRDefault="00506915" w:rsidP="00912BC2">
            <w:pPr>
              <w:rPr>
                <w:b/>
                <w:bCs/>
                <w:sz w:val="20"/>
                <w:szCs w:val="20"/>
              </w:rPr>
            </w:pPr>
            <w:r w:rsidRPr="00E56E55">
              <w:rPr>
                <w:b/>
                <w:bCs/>
                <w:sz w:val="20"/>
                <w:szCs w:val="20"/>
              </w:rPr>
              <w:t>10.2</w:t>
            </w:r>
          </w:p>
        </w:tc>
        <w:tc>
          <w:tcPr>
            <w:tcW w:w="3044" w:type="dxa"/>
          </w:tcPr>
          <w:p w14:paraId="22F6E53D" w14:textId="4891D8B0" w:rsidR="00506915" w:rsidRPr="00E56E55" w:rsidRDefault="00506915" w:rsidP="00912BC2">
            <w:pPr>
              <w:rPr>
                <w:sz w:val="20"/>
                <w:szCs w:val="20"/>
              </w:rPr>
            </w:pPr>
            <w:r w:rsidRPr="00E56E55">
              <w:rPr>
                <w:b/>
                <w:sz w:val="20"/>
                <w:szCs w:val="20"/>
              </w:rPr>
              <w:t>Chemical stability</w:t>
            </w:r>
          </w:p>
        </w:tc>
        <w:tc>
          <w:tcPr>
            <w:tcW w:w="5477" w:type="dxa"/>
            <w:tcBorders>
              <w:top w:val="single" w:sz="4" w:space="0" w:color="auto"/>
              <w:bottom w:val="single" w:sz="4" w:space="0" w:color="auto"/>
            </w:tcBorders>
          </w:tcPr>
          <w:p w14:paraId="74C515F8" w14:textId="72FAA3C4" w:rsidR="00506915" w:rsidRPr="00E56E55" w:rsidRDefault="00506915" w:rsidP="00912BC2">
            <w:pPr>
              <w:rPr>
                <w:sz w:val="20"/>
                <w:szCs w:val="20"/>
              </w:rPr>
            </w:pPr>
            <w:r w:rsidRPr="00E56E55">
              <w:rPr>
                <w:sz w:val="20"/>
                <w:szCs w:val="20"/>
              </w:rPr>
              <w:t>No decomposition if stored and applied as directed.  Stable under recommended storage conditions.  Hygroscopic.</w:t>
            </w:r>
          </w:p>
        </w:tc>
      </w:tr>
      <w:tr w:rsidR="00506915" w:rsidRPr="00E56E55" w14:paraId="302271C9" w14:textId="77777777" w:rsidTr="00E56E55">
        <w:tc>
          <w:tcPr>
            <w:tcW w:w="495" w:type="dxa"/>
          </w:tcPr>
          <w:p w14:paraId="497B4C64" w14:textId="5BAC8D88" w:rsidR="00506915" w:rsidRPr="00E56E55" w:rsidRDefault="00506915" w:rsidP="00912BC2">
            <w:pPr>
              <w:rPr>
                <w:b/>
                <w:bCs/>
                <w:sz w:val="20"/>
                <w:szCs w:val="20"/>
              </w:rPr>
            </w:pPr>
            <w:r w:rsidRPr="00E56E55">
              <w:rPr>
                <w:b/>
                <w:bCs/>
                <w:sz w:val="20"/>
                <w:szCs w:val="20"/>
              </w:rPr>
              <w:t>10.3</w:t>
            </w:r>
          </w:p>
        </w:tc>
        <w:tc>
          <w:tcPr>
            <w:tcW w:w="3044" w:type="dxa"/>
          </w:tcPr>
          <w:p w14:paraId="1A2E82E1" w14:textId="7691B887" w:rsidR="00506915" w:rsidRPr="00E56E55" w:rsidRDefault="00506915" w:rsidP="00912BC2">
            <w:pPr>
              <w:rPr>
                <w:b/>
                <w:bCs/>
                <w:sz w:val="20"/>
                <w:szCs w:val="20"/>
              </w:rPr>
            </w:pPr>
            <w:r w:rsidRPr="00E56E55">
              <w:rPr>
                <w:b/>
                <w:bCs/>
                <w:sz w:val="20"/>
                <w:szCs w:val="20"/>
              </w:rPr>
              <w:t>Hazardous reactions</w:t>
            </w:r>
          </w:p>
        </w:tc>
        <w:tc>
          <w:tcPr>
            <w:tcW w:w="5477" w:type="dxa"/>
            <w:tcBorders>
              <w:top w:val="single" w:sz="4" w:space="0" w:color="auto"/>
              <w:bottom w:val="single" w:sz="4" w:space="0" w:color="auto"/>
            </w:tcBorders>
          </w:tcPr>
          <w:p w14:paraId="428980E4" w14:textId="3E81C7FA" w:rsidR="00506915" w:rsidRPr="00E56E55" w:rsidRDefault="00506915" w:rsidP="00912BC2">
            <w:pPr>
              <w:rPr>
                <w:sz w:val="20"/>
                <w:szCs w:val="20"/>
              </w:rPr>
            </w:pPr>
            <w:r w:rsidRPr="00E56E55">
              <w:rPr>
                <w:sz w:val="20"/>
                <w:szCs w:val="20"/>
              </w:rPr>
              <w:t>Hazardous polymerisation does not occur.</w:t>
            </w:r>
          </w:p>
        </w:tc>
      </w:tr>
      <w:tr w:rsidR="00506915" w:rsidRPr="00E56E55" w14:paraId="136B85B6" w14:textId="77777777" w:rsidTr="00E56E55">
        <w:tc>
          <w:tcPr>
            <w:tcW w:w="495" w:type="dxa"/>
          </w:tcPr>
          <w:p w14:paraId="6E75C177" w14:textId="3CF82132" w:rsidR="00506915" w:rsidRPr="00E56E55" w:rsidRDefault="00506915" w:rsidP="00912BC2">
            <w:pPr>
              <w:rPr>
                <w:b/>
                <w:bCs/>
                <w:sz w:val="20"/>
                <w:szCs w:val="20"/>
              </w:rPr>
            </w:pPr>
            <w:r w:rsidRPr="00E56E55">
              <w:rPr>
                <w:b/>
                <w:bCs/>
                <w:sz w:val="20"/>
                <w:szCs w:val="20"/>
              </w:rPr>
              <w:t>10.4</w:t>
            </w:r>
          </w:p>
        </w:tc>
        <w:tc>
          <w:tcPr>
            <w:tcW w:w="3044" w:type="dxa"/>
          </w:tcPr>
          <w:p w14:paraId="368BEF23" w14:textId="65B9FE4A" w:rsidR="00506915" w:rsidRPr="00E56E55" w:rsidRDefault="00506915" w:rsidP="00912BC2">
            <w:pPr>
              <w:rPr>
                <w:b/>
                <w:bCs/>
                <w:sz w:val="20"/>
                <w:szCs w:val="20"/>
              </w:rPr>
            </w:pPr>
            <w:r w:rsidRPr="00E56E55">
              <w:rPr>
                <w:b/>
                <w:bCs/>
                <w:sz w:val="20"/>
                <w:szCs w:val="20"/>
              </w:rPr>
              <w:t>Conditions to avoid</w:t>
            </w:r>
          </w:p>
        </w:tc>
        <w:tc>
          <w:tcPr>
            <w:tcW w:w="5477" w:type="dxa"/>
            <w:tcBorders>
              <w:top w:val="single" w:sz="4" w:space="0" w:color="auto"/>
              <w:bottom w:val="single" w:sz="4" w:space="0" w:color="auto"/>
            </w:tcBorders>
          </w:tcPr>
          <w:p w14:paraId="3161E3C3" w14:textId="53D5827E" w:rsidR="00506915" w:rsidRPr="00E56E55" w:rsidRDefault="00506915" w:rsidP="00506915">
            <w:pPr>
              <w:rPr>
                <w:sz w:val="20"/>
                <w:szCs w:val="20"/>
              </w:rPr>
            </w:pPr>
            <w:r w:rsidRPr="00E56E55">
              <w:rPr>
                <w:sz w:val="20"/>
                <w:szCs w:val="20"/>
              </w:rPr>
              <w:t>Generation of gas from decomposition causes pressure in closed systems. Keep away from direct sunlight. Avoid high temperatures. Avoid temperatures exceeding the decomposition temperature. Avoid UV light.</w:t>
            </w:r>
          </w:p>
        </w:tc>
      </w:tr>
      <w:tr w:rsidR="00506915" w:rsidRPr="00E56E55" w14:paraId="6E32A88D" w14:textId="77777777" w:rsidTr="00E56E55">
        <w:tc>
          <w:tcPr>
            <w:tcW w:w="495" w:type="dxa"/>
          </w:tcPr>
          <w:p w14:paraId="6F6FBA3A" w14:textId="4CB08ABD" w:rsidR="00506915" w:rsidRPr="00E56E55" w:rsidRDefault="00506915" w:rsidP="00912BC2">
            <w:pPr>
              <w:rPr>
                <w:b/>
                <w:bCs/>
                <w:sz w:val="20"/>
                <w:szCs w:val="20"/>
              </w:rPr>
            </w:pPr>
            <w:r w:rsidRPr="00E56E55">
              <w:rPr>
                <w:b/>
                <w:bCs/>
                <w:sz w:val="20"/>
                <w:szCs w:val="20"/>
              </w:rPr>
              <w:t>10.5</w:t>
            </w:r>
          </w:p>
        </w:tc>
        <w:tc>
          <w:tcPr>
            <w:tcW w:w="3044" w:type="dxa"/>
          </w:tcPr>
          <w:p w14:paraId="2C483437" w14:textId="68146AD6" w:rsidR="00506915" w:rsidRPr="00E56E55" w:rsidRDefault="00506915" w:rsidP="00912BC2">
            <w:pPr>
              <w:rPr>
                <w:b/>
                <w:bCs/>
                <w:sz w:val="20"/>
                <w:szCs w:val="20"/>
              </w:rPr>
            </w:pPr>
            <w:r w:rsidRPr="00E56E55">
              <w:rPr>
                <w:b/>
                <w:bCs/>
                <w:sz w:val="20"/>
                <w:szCs w:val="20"/>
              </w:rPr>
              <w:t>Materials to avoid</w:t>
            </w:r>
          </w:p>
        </w:tc>
        <w:tc>
          <w:tcPr>
            <w:tcW w:w="5477" w:type="dxa"/>
            <w:tcBorders>
              <w:top w:val="single" w:sz="4" w:space="0" w:color="auto"/>
              <w:bottom w:val="single" w:sz="4" w:space="0" w:color="auto"/>
            </w:tcBorders>
          </w:tcPr>
          <w:p w14:paraId="6907E03E" w14:textId="771408A8" w:rsidR="00506915" w:rsidRPr="00E56E55" w:rsidRDefault="00506915" w:rsidP="00506915">
            <w:pPr>
              <w:rPr>
                <w:sz w:val="20"/>
                <w:szCs w:val="20"/>
              </w:rPr>
            </w:pPr>
            <w:r w:rsidRPr="00E56E55">
              <w:rPr>
                <w:sz w:val="20"/>
                <w:szCs w:val="20"/>
              </w:rPr>
              <w:t xml:space="preserve">Strong acids, Strong bases, Strong oxidising agents. </w:t>
            </w:r>
          </w:p>
        </w:tc>
      </w:tr>
      <w:tr w:rsidR="00506915" w:rsidRPr="00E56E55" w14:paraId="315E8F7E" w14:textId="77777777" w:rsidTr="00E56E55">
        <w:tc>
          <w:tcPr>
            <w:tcW w:w="495" w:type="dxa"/>
          </w:tcPr>
          <w:p w14:paraId="488A7C9A" w14:textId="3CDA126B" w:rsidR="00506915" w:rsidRPr="00E56E55" w:rsidRDefault="00506915" w:rsidP="00912BC2">
            <w:pPr>
              <w:rPr>
                <w:b/>
                <w:bCs/>
                <w:sz w:val="20"/>
                <w:szCs w:val="20"/>
              </w:rPr>
            </w:pPr>
            <w:r w:rsidRPr="00E56E55">
              <w:rPr>
                <w:b/>
                <w:bCs/>
                <w:sz w:val="20"/>
                <w:szCs w:val="20"/>
              </w:rPr>
              <w:t>10.6</w:t>
            </w:r>
          </w:p>
        </w:tc>
        <w:tc>
          <w:tcPr>
            <w:tcW w:w="3044" w:type="dxa"/>
          </w:tcPr>
          <w:p w14:paraId="03DB0434" w14:textId="0E111E9B" w:rsidR="00506915" w:rsidRPr="00E56E55" w:rsidRDefault="00506915" w:rsidP="00912BC2">
            <w:pPr>
              <w:rPr>
                <w:b/>
                <w:bCs/>
                <w:sz w:val="20"/>
                <w:szCs w:val="20"/>
              </w:rPr>
            </w:pPr>
            <w:r w:rsidRPr="00E56E55">
              <w:rPr>
                <w:b/>
                <w:bCs/>
                <w:sz w:val="20"/>
                <w:szCs w:val="20"/>
              </w:rPr>
              <w:t>Hazardous decomposition products</w:t>
            </w:r>
          </w:p>
        </w:tc>
        <w:tc>
          <w:tcPr>
            <w:tcW w:w="5477" w:type="dxa"/>
            <w:tcBorders>
              <w:top w:val="single" w:sz="4" w:space="0" w:color="auto"/>
            </w:tcBorders>
          </w:tcPr>
          <w:p w14:paraId="043CF3B8" w14:textId="55CB77FA" w:rsidR="00506915" w:rsidRPr="00E56E55" w:rsidRDefault="00506915" w:rsidP="00506915">
            <w:pPr>
              <w:rPr>
                <w:sz w:val="20"/>
                <w:szCs w:val="20"/>
              </w:rPr>
            </w:pPr>
            <w:r w:rsidRPr="00E56E55">
              <w:rPr>
                <w:sz w:val="20"/>
                <w:szCs w:val="20"/>
              </w:rPr>
              <w:t xml:space="preserve">Aldehydes, Alcohols, Ether, Organic acids. </w:t>
            </w:r>
          </w:p>
        </w:tc>
      </w:tr>
    </w:tbl>
    <w:p w14:paraId="34740662" w14:textId="77777777" w:rsidR="00506915" w:rsidRPr="00E56E55" w:rsidRDefault="00506915" w:rsidP="00506915">
      <w:pPr>
        <w:spacing w:after="0"/>
        <w:rPr>
          <w:sz w:val="20"/>
          <w:szCs w:val="20"/>
        </w:rPr>
      </w:pPr>
    </w:p>
    <w:p w14:paraId="6225B9B0" w14:textId="7C324633" w:rsidR="00506915" w:rsidRPr="00E56E55" w:rsidRDefault="00506915" w:rsidP="00506915">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11: TOXICOLOGICAL INFORMATION</w:t>
      </w:r>
    </w:p>
    <w:p w14:paraId="5C5177D7" w14:textId="77777777" w:rsidR="00506915" w:rsidRPr="00E56E55" w:rsidRDefault="00506915" w:rsidP="00506915">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2997"/>
        <w:gridCol w:w="5345"/>
      </w:tblGrid>
      <w:tr w:rsidR="00506915" w:rsidRPr="00E56E55" w14:paraId="48C79BD0" w14:textId="77777777" w:rsidTr="00E56E55">
        <w:tc>
          <w:tcPr>
            <w:tcW w:w="684" w:type="dxa"/>
          </w:tcPr>
          <w:p w14:paraId="3C6F6A51" w14:textId="261C47CA" w:rsidR="00506915" w:rsidRPr="00E56E55" w:rsidRDefault="00506915" w:rsidP="00912BC2">
            <w:pPr>
              <w:rPr>
                <w:b/>
                <w:bCs/>
                <w:sz w:val="20"/>
                <w:szCs w:val="20"/>
              </w:rPr>
            </w:pPr>
            <w:r w:rsidRPr="00E56E55">
              <w:rPr>
                <w:b/>
                <w:bCs/>
                <w:sz w:val="20"/>
                <w:szCs w:val="20"/>
              </w:rPr>
              <w:t>11.1</w:t>
            </w:r>
          </w:p>
        </w:tc>
        <w:tc>
          <w:tcPr>
            <w:tcW w:w="2997" w:type="dxa"/>
          </w:tcPr>
          <w:p w14:paraId="194E7EE5" w14:textId="62DB962D" w:rsidR="00506915" w:rsidRPr="00E56E55" w:rsidRDefault="00506915" w:rsidP="00912BC2">
            <w:pPr>
              <w:rPr>
                <w:b/>
                <w:bCs/>
                <w:sz w:val="20"/>
                <w:szCs w:val="20"/>
              </w:rPr>
            </w:pPr>
            <w:r w:rsidRPr="00E56E55">
              <w:rPr>
                <w:b/>
                <w:bCs/>
                <w:sz w:val="20"/>
                <w:szCs w:val="20"/>
              </w:rPr>
              <w:t>Toxicity Oral</w:t>
            </w:r>
          </w:p>
        </w:tc>
        <w:tc>
          <w:tcPr>
            <w:tcW w:w="5345" w:type="dxa"/>
          </w:tcPr>
          <w:p w14:paraId="7366C605" w14:textId="6E393EC2" w:rsidR="00506915" w:rsidRPr="00E56E55" w:rsidRDefault="00506915" w:rsidP="00506915">
            <w:pPr>
              <w:rPr>
                <w:sz w:val="20"/>
                <w:szCs w:val="20"/>
              </w:rPr>
            </w:pPr>
            <w:r w:rsidRPr="00E56E55">
              <w:rPr>
                <w:sz w:val="20"/>
                <w:szCs w:val="20"/>
              </w:rPr>
              <w:t>LD50: &gt; 20000 mg/kg (rat) This product can present a small hazard if large quantities are swallowed.</w:t>
            </w:r>
          </w:p>
        </w:tc>
      </w:tr>
      <w:tr w:rsidR="00506915" w:rsidRPr="00E56E55" w14:paraId="52D0F51D" w14:textId="77777777" w:rsidTr="00E56E55">
        <w:tc>
          <w:tcPr>
            <w:tcW w:w="684" w:type="dxa"/>
          </w:tcPr>
          <w:p w14:paraId="2CB146EA" w14:textId="2899819B" w:rsidR="00506915" w:rsidRPr="00E56E55" w:rsidRDefault="00506915" w:rsidP="00912BC2">
            <w:pPr>
              <w:rPr>
                <w:b/>
                <w:bCs/>
                <w:sz w:val="20"/>
                <w:szCs w:val="20"/>
              </w:rPr>
            </w:pPr>
            <w:r w:rsidRPr="00E56E55">
              <w:rPr>
                <w:b/>
                <w:bCs/>
                <w:sz w:val="20"/>
                <w:szCs w:val="20"/>
              </w:rPr>
              <w:t>11.2</w:t>
            </w:r>
          </w:p>
        </w:tc>
        <w:tc>
          <w:tcPr>
            <w:tcW w:w="2997" w:type="dxa"/>
          </w:tcPr>
          <w:p w14:paraId="27FA5C5F" w14:textId="5C80B4F0" w:rsidR="00506915" w:rsidRPr="00E56E55" w:rsidRDefault="00506915" w:rsidP="00E56E55">
            <w:pPr>
              <w:pStyle w:val="NoSpacing"/>
              <w:rPr>
                <w:rFonts w:ascii="Asap" w:hAnsi="Asap"/>
                <w:b/>
                <w:bCs/>
                <w:sz w:val="20"/>
                <w:szCs w:val="20"/>
              </w:rPr>
            </w:pPr>
            <w:r w:rsidRPr="00E56E55">
              <w:rPr>
                <w:rFonts w:ascii="Asap" w:hAnsi="Asap"/>
                <w:b/>
                <w:bCs/>
                <w:sz w:val="20"/>
                <w:szCs w:val="20"/>
              </w:rPr>
              <w:t>Inhalation</w:t>
            </w:r>
          </w:p>
        </w:tc>
        <w:tc>
          <w:tcPr>
            <w:tcW w:w="5345" w:type="dxa"/>
            <w:tcBorders>
              <w:bottom w:val="single" w:sz="4" w:space="0" w:color="auto"/>
            </w:tcBorders>
          </w:tcPr>
          <w:p w14:paraId="4AB6686D" w14:textId="2C59059E" w:rsidR="00506915" w:rsidRPr="00E56E55" w:rsidRDefault="00506915" w:rsidP="00912BC2">
            <w:pPr>
              <w:rPr>
                <w:sz w:val="20"/>
                <w:szCs w:val="20"/>
              </w:rPr>
            </w:pPr>
            <w:r w:rsidRPr="00E56E55">
              <w:rPr>
                <w:sz w:val="20"/>
                <w:szCs w:val="20"/>
              </w:rPr>
              <w:t>LC50: 6.15 mg/l (rat; 4 h; vapour) At ambient temperature the exposure to vapours is minimal due to a low volatility rate. Inhalation may cause irritation to the nose, throat, upper respiratory tract and lungs. No deaths occurred</w:t>
            </w:r>
          </w:p>
        </w:tc>
      </w:tr>
      <w:tr w:rsidR="00506915" w:rsidRPr="00E56E55" w14:paraId="29024CB3" w14:textId="77777777" w:rsidTr="00E56E55">
        <w:tc>
          <w:tcPr>
            <w:tcW w:w="684" w:type="dxa"/>
          </w:tcPr>
          <w:p w14:paraId="3558395F" w14:textId="21A86DB3" w:rsidR="00506915" w:rsidRPr="00E56E55" w:rsidRDefault="00506915" w:rsidP="00912BC2">
            <w:pPr>
              <w:rPr>
                <w:b/>
                <w:bCs/>
                <w:sz w:val="20"/>
                <w:szCs w:val="20"/>
              </w:rPr>
            </w:pPr>
            <w:r w:rsidRPr="00E56E55">
              <w:rPr>
                <w:b/>
                <w:bCs/>
                <w:sz w:val="20"/>
                <w:szCs w:val="20"/>
              </w:rPr>
              <w:t>11.3</w:t>
            </w:r>
          </w:p>
        </w:tc>
        <w:tc>
          <w:tcPr>
            <w:tcW w:w="2997" w:type="dxa"/>
          </w:tcPr>
          <w:p w14:paraId="149DB134" w14:textId="027E0AEA" w:rsidR="00506915" w:rsidRPr="00E56E55" w:rsidRDefault="00506915" w:rsidP="00912BC2">
            <w:pPr>
              <w:rPr>
                <w:b/>
                <w:sz w:val="20"/>
                <w:szCs w:val="20"/>
              </w:rPr>
            </w:pPr>
            <w:r w:rsidRPr="00E56E55">
              <w:rPr>
                <w:b/>
                <w:sz w:val="20"/>
                <w:szCs w:val="20"/>
              </w:rPr>
              <w:t>Dermal</w:t>
            </w:r>
          </w:p>
        </w:tc>
        <w:tc>
          <w:tcPr>
            <w:tcW w:w="5345" w:type="dxa"/>
            <w:tcBorders>
              <w:top w:val="single" w:sz="4" w:space="0" w:color="auto"/>
              <w:bottom w:val="single" w:sz="4" w:space="0" w:color="auto"/>
            </w:tcBorders>
          </w:tcPr>
          <w:p w14:paraId="00A3DA82" w14:textId="709557DF" w:rsidR="00506915" w:rsidRPr="00E56E55" w:rsidRDefault="00506915" w:rsidP="00912BC2">
            <w:pPr>
              <w:rPr>
                <w:sz w:val="20"/>
                <w:szCs w:val="20"/>
              </w:rPr>
            </w:pPr>
            <w:r w:rsidRPr="00E56E55">
              <w:rPr>
                <w:sz w:val="20"/>
                <w:szCs w:val="20"/>
              </w:rPr>
              <w:t>LD50: &gt; 20000 mg/kg (rabbit) Prolonged skin contact is unlikely to result in absorption of harmful amounts. Skin irritation by prolonged exposure is unlikely. Repeated contact may cause flaking and softening of skin</w:t>
            </w:r>
          </w:p>
        </w:tc>
      </w:tr>
      <w:tr w:rsidR="00506915" w:rsidRPr="00E56E55" w14:paraId="16241C6A" w14:textId="77777777" w:rsidTr="00E56E55">
        <w:tc>
          <w:tcPr>
            <w:tcW w:w="684" w:type="dxa"/>
          </w:tcPr>
          <w:p w14:paraId="58452D98" w14:textId="74719BA0" w:rsidR="00506915" w:rsidRPr="00E56E55" w:rsidRDefault="00506915" w:rsidP="00912BC2">
            <w:pPr>
              <w:rPr>
                <w:b/>
                <w:bCs/>
                <w:sz w:val="20"/>
                <w:szCs w:val="20"/>
              </w:rPr>
            </w:pPr>
            <w:r w:rsidRPr="00E56E55">
              <w:rPr>
                <w:b/>
                <w:bCs/>
                <w:sz w:val="20"/>
                <w:szCs w:val="20"/>
              </w:rPr>
              <w:t>11.4</w:t>
            </w:r>
          </w:p>
        </w:tc>
        <w:tc>
          <w:tcPr>
            <w:tcW w:w="2997" w:type="dxa"/>
          </w:tcPr>
          <w:p w14:paraId="70F2F8E5" w14:textId="0956CE58" w:rsidR="00506915" w:rsidRPr="00E56E55" w:rsidRDefault="00506915" w:rsidP="00912BC2">
            <w:pPr>
              <w:rPr>
                <w:b/>
                <w:sz w:val="20"/>
                <w:szCs w:val="20"/>
              </w:rPr>
            </w:pPr>
            <w:r w:rsidRPr="00E56E55">
              <w:rPr>
                <w:b/>
                <w:sz w:val="20"/>
                <w:szCs w:val="20"/>
              </w:rPr>
              <w:t>Eyes</w:t>
            </w:r>
          </w:p>
        </w:tc>
        <w:tc>
          <w:tcPr>
            <w:tcW w:w="5345" w:type="dxa"/>
            <w:tcBorders>
              <w:top w:val="single" w:sz="4" w:space="0" w:color="auto"/>
              <w:bottom w:val="single" w:sz="4" w:space="0" w:color="auto"/>
            </w:tcBorders>
          </w:tcPr>
          <w:p w14:paraId="34435517" w14:textId="74273378" w:rsidR="00506915" w:rsidRPr="00E56E55" w:rsidRDefault="00506915" w:rsidP="00912BC2">
            <w:pPr>
              <w:rPr>
                <w:sz w:val="20"/>
                <w:szCs w:val="20"/>
              </w:rPr>
            </w:pPr>
            <w:r w:rsidRPr="00E56E55">
              <w:rPr>
                <w:sz w:val="20"/>
                <w:szCs w:val="20"/>
              </w:rPr>
              <w:t xml:space="preserve">Slight irritation is possible. Direct contact with eyes may cause temporary irritation. Corneal injury is unlikely. </w:t>
            </w:r>
          </w:p>
        </w:tc>
      </w:tr>
      <w:tr w:rsidR="00506915" w:rsidRPr="00E56E55" w14:paraId="648FF6DD" w14:textId="77777777" w:rsidTr="00E56E55">
        <w:tc>
          <w:tcPr>
            <w:tcW w:w="684" w:type="dxa"/>
          </w:tcPr>
          <w:p w14:paraId="0262C5CF" w14:textId="1B777493" w:rsidR="00506915" w:rsidRPr="00E56E55" w:rsidRDefault="00506915" w:rsidP="00912BC2">
            <w:pPr>
              <w:rPr>
                <w:b/>
                <w:bCs/>
                <w:sz w:val="20"/>
                <w:szCs w:val="20"/>
              </w:rPr>
            </w:pPr>
            <w:r w:rsidRPr="00E56E55">
              <w:rPr>
                <w:b/>
                <w:bCs/>
                <w:sz w:val="20"/>
                <w:szCs w:val="20"/>
              </w:rPr>
              <w:t>11.5</w:t>
            </w:r>
          </w:p>
        </w:tc>
        <w:tc>
          <w:tcPr>
            <w:tcW w:w="2997" w:type="dxa"/>
          </w:tcPr>
          <w:p w14:paraId="224B4BA0" w14:textId="6A976BB4" w:rsidR="00506915" w:rsidRPr="00E56E55" w:rsidRDefault="00506915" w:rsidP="00912BC2">
            <w:pPr>
              <w:rPr>
                <w:b/>
                <w:sz w:val="20"/>
                <w:szCs w:val="20"/>
              </w:rPr>
            </w:pPr>
            <w:r w:rsidRPr="00E56E55">
              <w:rPr>
                <w:b/>
                <w:sz w:val="20"/>
                <w:szCs w:val="20"/>
              </w:rPr>
              <w:t>Sensitisation</w:t>
            </w:r>
          </w:p>
        </w:tc>
        <w:tc>
          <w:tcPr>
            <w:tcW w:w="5345" w:type="dxa"/>
            <w:tcBorders>
              <w:top w:val="single" w:sz="4" w:space="0" w:color="auto"/>
              <w:bottom w:val="single" w:sz="4" w:space="0" w:color="auto"/>
            </w:tcBorders>
          </w:tcPr>
          <w:p w14:paraId="3DA10029" w14:textId="5BB0CB65" w:rsidR="00506915" w:rsidRPr="00E56E55" w:rsidRDefault="00506915" w:rsidP="00912BC2">
            <w:pPr>
              <w:rPr>
                <w:sz w:val="20"/>
                <w:szCs w:val="20"/>
              </w:rPr>
            </w:pPr>
            <w:r w:rsidRPr="00E56E55">
              <w:rPr>
                <w:sz w:val="20"/>
                <w:szCs w:val="20"/>
              </w:rPr>
              <w:t xml:space="preserve">Patch test on human volunteers did not demonstrate sensitisation properties. </w:t>
            </w:r>
          </w:p>
        </w:tc>
      </w:tr>
      <w:tr w:rsidR="00506915" w:rsidRPr="00E56E55" w14:paraId="46E8AB71" w14:textId="77777777" w:rsidTr="00E56E55">
        <w:tc>
          <w:tcPr>
            <w:tcW w:w="684" w:type="dxa"/>
          </w:tcPr>
          <w:p w14:paraId="01FE718D" w14:textId="29EE4E0F" w:rsidR="00506915" w:rsidRPr="00E56E55" w:rsidRDefault="00506915" w:rsidP="00912BC2">
            <w:pPr>
              <w:rPr>
                <w:b/>
                <w:bCs/>
                <w:sz w:val="20"/>
                <w:szCs w:val="20"/>
              </w:rPr>
            </w:pPr>
            <w:r w:rsidRPr="00E56E55">
              <w:rPr>
                <w:b/>
                <w:bCs/>
                <w:sz w:val="20"/>
                <w:szCs w:val="20"/>
              </w:rPr>
              <w:t>11.6</w:t>
            </w:r>
          </w:p>
        </w:tc>
        <w:tc>
          <w:tcPr>
            <w:tcW w:w="2997" w:type="dxa"/>
          </w:tcPr>
          <w:p w14:paraId="1956EBF7" w14:textId="0F14E074" w:rsidR="00506915" w:rsidRPr="00E56E55" w:rsidRDefault="00506915" w:rsidP="00912BC2">
            <w:pPr>
              <w:rPr>
                <w:b/>
                <w:sz w:val="20"/>
                <w:szCs w:val="20"/>
              </w:rPr>
            </w:pPr>
            <w:r w:rsidRPr="00E56E55">
              <w:rPr>
                <w:b/>
                <w:sz w:val="20"/>
                <w:szCs w:val="20"/>
              </w:rPr>
              <w:t>CMR Carcinogenicity</w:t>
            </w:r>
          </w:p>
        </w:tc>
        <w:tc>
          <w:tcPr>
            <w:tcW w:w="5345" w:type="dxa"/>
            <w:tcBorders>
              <w:top w:val="single" w:sz="4" w:space="0" w:color="auto"/>
              <w:bottom w:val="single" w:sz="4" w:space="0" w:color="auto"/>
            </w:tcBorders>
          </w:tcPr>
          <w:p w14:paraId="36A72FFC" w14:textId="5825E0F6" w:rsidR="00506915" w:rsidRPr="00E56E55" w:rsidRDefault="00506915" w:rsidP="00912BC2">
            <w:pPr>
              <w:rPr>
                <w:sz w:val="20"/>
                <w:szCs w:val="20"/>
              </w:rPr>
            </w:pPr>
            <w:r w:rsidRPr="00E56E55">
              <w:rPr>
                <w:sz w:val="20"/>
                <w:szCs w:val="20"/>
              </w:rPr>
              <w:t>Animal testing did not show any carcinogenic effects. Information given is based on data obtained from similar substances.</w:t>
            </w:r>
          </w:p>
        </w:tc>
      </w:tr>
      <w:tr w:rsidR="00506915" w:rsidRPr="00E56E55" w14:paraId="73AC9E2A" w14:textId="77777777" w:rsidTr="00E56E55">
        <w:tc>
          <w:tcPr>
            <w:tcW w:w="684" w:type="dxa"/>
          </w:tcPr>
          <w:p w14:paraId="6705E02C" w14:textId="34E80EC9" w:rsidR="00506915" w:rsidRPr="00E56E55" w:rsidRDefault="00506915" w:rsidP="00912BC2">
            <w:pPr>
              <w:rPr>
                <w:b/>
                <w:bCs/>
                <w:sz w:val="20"/>
                <w:szCs w:val="20"/>
              </w:rPr>
            </w:pPr>
            <w:r w:rsidRPr="00E56E55">
              <w:rPr>
                <w:b/>
                <w:bCs/>
                <w:sz w:val="20"/>
                <w:szCs w:val="20"/>
              </w:rPr>
              <w:t>11.7</w:t>
            </w:r>
          </w:p>
        </w:tc>
        <w:tc>
          <w:tcPr>
            <w:tcW w:w="2997" w:type="dxa"/>
          </w:tcPr>
          <w:p w14:paraId="6775D4D2" w14:textId="75018EF5" w:rsidR="00506915" w:rsidRPr="00E56E55" w:rsidRDefault="00506915" w:rsidP="00912BC2">
            <w:pPr>
              <w:rPr>
                <w:b/>
                <w:sz w:val="20"/>
                <w:szCs w:val="20"/>
              </w:rPr>
            </w:pPr>
            <w:r w:rsidRPr="00E56E55">
              <w:rPr>
                <w:b/>
                <w:sz w:val="20"/>
                <w:szCs w:val="20"/>
              </w:rPr>
              <w:t>Mutagenicity</w:t>
            </w:r>
          </w:p>
        </w:tc>
        <w:tc>
          <w:tcPr>
            <w:tcW w:w="5345" w:type="dxa"/>
            <w:tcBorders>
              <w:top w:val="single" w:sz="4" w:space="0" w:color="auto"/>
              <w:bottom w:val="single" w:sz="4" w:space="0" w:color="auto"/>
            </w:tcBorders>
          </w:tcPr>
          <w:p w14:paraId="2E725827" w14:textId="10F77467" w:rsidR="00506915" w:rsidRPr="00E56E55" w:rsidRDefault="00506915" w:rsidP="00912BC2">
            <w:pPr>
              <w:rPr>
                <w:sz w:val="20"/>
                <w:szCs w:val="20"/>
              </w:rPr>
            </w:pPr>
            <w:r w:rsidRPr="00E56E55">
              <w:rPr>
                <w:sz w:val="20"/>
                <w:szCs w:val="20"/>
              </w:rPr>
              <w:t>No data available.</w:t>
            </w:r>
          </w:p>
        </w:tc>
      </w:tr>
      <w:tr w:rsidR="00506915" w:rsidRPr="00E56E55" w14:paraId="62ACFC2D" w14:textId="77777777" w:rsidTr="00E56E55">
        <w:tc>
          <w:tcPr>
            <w:tcW w:w="684" w:type="dxa"/>
          </w:tcPr>
          <w:p w14:paraId="403CB4D5" w14:textId="2AE4C4D0" w:rsidR="00506915" w:rsidRPr="00E56E55" w:rsidRDefault="00506915" w:rsidP="00912BC2">
            <w:pPr>
              <w:rPr>
                <w:b/>
                <w:bCs/>
                <w:sz w:val="20"/>
                <w:szCs w:val="20"/>
              </w:rPr>
            </w:pPr>
            <w:r w:rsidRPr="00E56E55">
              <w:rPr>
                <w:b/>
                <w:bCs/>
                <w:sz w:val="20"/>
                <w:szCs w:val="20"/>
              </w:rPr>
              <w:t>11.8</w:t>
            </w:r>
          </w:p>
        </w:tc>
        <w:tc>
          <w:tcPr>
            <w:tcW w:w="2997" w:type="dxa"/>
          </w:tcPr>
          <w:p w14:paraId="73F227B7" w14:textId="3CE3E625" w:rsidR="00506915" w:rsidRPr="00E56E55" w:rsidRDefault="00506915" w:rsidP="00912BC2">
            <w:pPr>
              <w:rPr>
                <w:b/>
                <w:sz w:val="20"/>
                <w:szCs w:val="20"/>
              </w:rPr>
            </w:pPr>
            <w:r w:rsidRPr="00E56E55">
              <w:rPr>
                <w:b/>
                <w:sz w:val="20"/>
                <w:szCs w:val="20"/>
              </w:rPr>
              <w:t>Reproductive toxicity</w:t>
            </w:r>
          </w:p>
        </w:tc>
        <w:tc>
          <w:tcPr>
            <w:tcW w:w="5345" w:type="dxa"/>
            <w:tcBorders>
              <w:top w:val="single" w:sz="4" w:space="0" w:color="auto"/>
              <w:bottom w:val="single" w:sz="4" w:space="0" w:color="auto"/>
            </w:tcBorders>
          </w:tcPr>
          <w:p w14:paraId="2BEA9D9B" w14:textId="37A8A536" w:rsidR="00506915" w:rsidRPr="00E56E55" w:rsidRDefault="00506915" w:rsidP="00912BC2">
            <w:pPr>
              <w:rPr>
                <w:sz w:val="20"/>
                <w:szCs w:val="20"/>
              </w:rPr>
            </w:pPr>
            <w:r w:rsidRPr="00E56E55">
              <w:rPr>
                <w:sz w:val="20"/>
                <w:szCs w:val="20"/>
              </w:rPr>
              <w:t>No data available.</w:t>
            </w:r>
          </w:p>
        </w:tc>
      </w:tr>
      <w:tr w:rsidR="00506915" w:rsidRPr="00E56E55" w14:paraId="39B13A5D" w14:textId="77777777" w:rsidTr="00E56E55">
        <w:tc>
          <w:tcPr>
            <w:tcW w:w="684" w:type="dxa"/>
          </w:tcPr>
          <w:p w14:paraId="21534562" w14:textId="6573F48F" w:rsidR="00506915" w:rsidRPr="00E56E55" w:rsidRDefault="00506915" w:rsidP="00912BC2">
            <w:pPr>
              <w:rPr>
                <w:b/>
                <w:bCs/>
                <w:sz w:val="20"/>
                <w:szCs w:val="20"/>
              </w:rPr>
            </w:pPr>
            <w:r w:rsidRPr="00E56E55">
              <w:rPr>
                <w:b/>
                <w:bCs/>
                <w:sz w:val="20"/>
                <w:szCs w:val="20"/>
              </w:rPr>
              <w:t>11.9</w:t>
            </w:r>
          </w:p>
        </w:tc>
        <w:tc>
          <w:tcPr>
            <w:tcW w:w="2997" w:type="dxa"/>
          </w:tcPr>
          <w:p w14:paraId="12997DD2" w14:textId="0C11A1EC" w:rsidR="00506915" w:rsidRPr="00E56E55" w:rsidRDefault="00506915" w:rsidP="00912BC2">
            <w:pPr>
              <w:rPr>
                <w:b/>
                <w:sz w:val="20"/>
                <w:szCs w:val="20"/>
              </w:rPr>
            </w:pPr>
            <w:r w:rsidRPr="00E56E55">
              <w:rPr>
                <w:b/>
                <w:sz w:val="20"/>
                <w:szCs w:val="20"/>
              </w:rPr>
              <w:t>Specific Target Organ Toxicity</w:t>
            </w:r>
          </w:p>
        </w:tc>
        <w:tc>
          <w:tcPr>
            <w:tcW w:w="5345" w:type="dxa"/>
            <w:tcBorders>
              <w:top w:val="single" w:sz="4" w:space="0" w:color="auto"/>
              <w:bottom w:val="single" w:sz="4" w:space="0" w:color="auto"/>
            </w:tcBorders>
          </w:tcPr>
          <w:p w14:paraId="257CA421" w14:textId="30443693" w:rsidR="00506915" w:rsidRPr="00E56E55" w:rsidRDefault="00506915" w:rsidP="00912BC2">
            <w:pPr>
              <w:rPr>
                <w:sz w:val="20"/>
                <w:szCs w:val="20"/>
              </w:rPr>
            </w:pPr>
            <w:r w:rsidRPr="00E56E55">
              <w:rPr>
                <w:sz w:val="20"/>
                <w:szCs w:val="20"/>
              </w:rPr>
              <w:t>Single exposure no data available.  Repeated exposure no data available.</w:t>
            </w:r>
          </w:p>
        </w:tc>
      </w:tr>
      <w:tr w:rsidR="00506915" w:rsidRPr="00E56E55" w14:paraId="6A0D3247" w14:textId="77777777" w:rsidTr="00E56E55">
        <w:tc>
          <w:tcPr>
            <w:tcW w:w="684" w:type="dxa"/>
          </w:tcPr>
          <w:p w14:paraId="5F18DA59" w14:textId="63074BEE" w:rsidR="00506915" w:rsidRPr="00E56E55" w:rsidRDefault="00506915" w:rsidP="00912BC2">
            <w:pPr>
              <w:rPr>
                <w:b/>
                <w:bCs/>
                <w:sz w:val="20"/>
                <w:szCs w:val="20"/>
              </w:rPr>
            </w:pPr>
            <w:r w:rsidRPr="00E56E55">
              <w:rPr>
                <w:b/>
                <w:bCs/>
                <w:sz w:val="20"/>
                <w:szCs w:val="20"/>
              </w:rPr>
              <w:t>11.10</w:t>
            </w:r>
          </w:p>
        </w:tc>
        <w:tc>
          <w:tcPr>
            <w:tcW w:w="2997" w:type="dxa"/>
          </w:tcPr>
          <w:p w14:paraId="577D7CFF" w14:textId="1D5BA4A6" w:rsidR="00506915" w:rsidRPr="00E56E55" w:rsidRDefault="00506915" w:rsidP="00912BC2">
            <w:pPr>
              <w:rPr>
                <w:b/>
                <w:sz w:val="20"/>
                <w:szCs w:val="20"/>
              </w:rPr>
            </w:pPr>
            <w:r w:rsidRPr="00E56E55">
              <w:rPr>
                <w:b/>
                <w:sz w:val="20"/>
                <w:szCs w:val="20"/>
              </w:rPr>
              <w:t>Other toxic properties</w:t>
            </w:r>
          </w:p>
        </w:tc>
        <w:tc>
          <w:tcPr>
            <w:tcW w:w="5345" w:type="dxa"/>
            <w:tcBorders>
              <w:top w:val="single" w:sz="4" w:space="0" w:color="auto"/>
              <w:bottom w:val="single" w:sz="4" w:space="0" w:color="auto"/>
            </w:tcBorders>
          </w:tcPr>
          <w:p w14:paraId="0431155D" w14:textId="7C05C88C" w:rsidR="00506915" w:rsidRPr="00E56E55" w:rsidRDefault="00506915" w:rsidP="00912BC2">
            <w:pPr>
              <w:rPr>
                <w:sz w:val="20"/>
                <w:szCs w:val="20"/>
              </w:rPr>
            </w:pPr>
            <w:r w:rsidRPr="00E56E55">
              <w:rPr>
                <w:sz w:val="20"/>
                <w:szCs w:val="20"/>
              </w:rPr>
              <w:t>Repeated dose toxicity. In rare cases, repeated excessive exposure to propylene glycol may cause central</w:t>
            </w:r>
            <w:r w:rsidR="00A57B2A" w:rsidRPr="00E56E55">
              <w:rPr>
                <w:sz w:val="20"/>
                <w:szCs w:val="20"/>
              </w:rPr>
              <w:t xml:space="preserve"> </w:t>
            </w:r>
            <w:r w:rsidRPr="00E56E55">
              <w:rPr>
                <w:sz w:val="20"/>
                <w:szCs w:val="20"/>
              </w:rPr>
              <w:t>nervous system effects. Aspiration hazard</w:t>
            </w:r>
            <w:r w:rsidR="00A57B2A" w:rsidRPr="00E56E55">
              <w:rPr>
                <w:sz w:val="20"/>
                <w:szCs w:val="20"/>
              </w:rPr>
              <w:t>:</w:t>
            </w:r>
            <w:r w:rsidRPr="00E56E55">
              <w:rPr>
                <w:sz w:val="20"/>
                <w:szCs w:val="20"/>
              </w:rPr>
              <w:t xml:space="preserve"> Due to its physical properties, the substance does probably not pose any aspiration hazard.</w:t>
            </w:r>
          </w:p>
        </w:tc>
      </w:tr>
      <w:tr w:rsidR="00506915" w:rsidRPr="00E56E55" w14:paraId="46B615D7" w14:textId="77777777" w:rsidTr="00E56E55">
        <w:tc>
          <w:tcPr>
            <w:tcW w:w="684" w:type="dxa"/>
          </w:tcPr>
          <w:p w14:paraId="174EAF0D" w14:textId="2D9870ED" w:rsidR="00506915" w:rsidRPr="00E56E55" w:rsidRDefault="00506915" w:rsidP="00912BC2">
            <w:pPr>
              <w:rPr>
                <w:b/>
                <w:bCs/>
                <w:sz w:val="20"/>
                <w:szCs w:val="20"/>
              </w:rPr>
            </w:pPr>
            <w:r w:rsidRPr="00E56E55">
              <w:rPr>
                <w:b/>
                <w:bCs/>
                <w:sz w:val="20"/>
                <w:szCs w:val="20"/>
              </w:rPr>
              <w:t>11.11</w:t>
            </w:r>
          </w:p>
        </w:tc>
        <w:tc>
          <w:tcPr>
            <w:tcW w:w="2997" w:type="dxa"/>
          </w:tcPr>
          <w:p w14:paraId="409E56B8" w14:textId="27B8EE75" w:rsidR="00506915" w:rsidRPr="00E56E55" w:rsidRDefault="00506915" w:rsidP="00912BC2">
            <w:pPr>
              <w:rPr>
                <w:b/>
                <w:sz w:val="20"/>
                <w:szCs w:val="20"/>
              </w:rPr>
            </w:pPr>
            <w:r w:rsidRPr="00E56E55">
              <w:rPr>
                <w:b/>
                <w:sz w:val="20"/>
                <w:szCs w:val="20"/>
              </w:rPr>
              <w:t>Other relevant toxicity information</w:t>
            </w:r>
          </w:p>
        </w:tc>
        <w:tc>
          <w:tcPr>
            <w:tcW w:w="5345" w:type="dxa"/>
            <w:tcBorders>
              <w:top w:val="single" w:sz="4" w:space="0" w:color="auto"/>
              <w:bottom w:val="single" w:sz="4" w:space="0" w:color="auto"/>
            </w:tcBorders>
          </w:tcPr>
          <w:p w14:paraId="1571B83F" w14:textId="2B070EC7" w:rsidR="00506915" w:rsidRPr="00E56E55" w:rsidRDefault="00A57B2A" w:rsidP="00912BC2">
            <w:pPr>
              <w:rPr>
                <w:sz w:val="20"/>
                <w:szCs w:val="20"/>
              </w:rPr>
            </w:pPr>
            <w:r w:rsidRPr="00E56E55">
              <w:rPr>
                <w:sz w:val="20"/>
                <w:szCs w:val="20"/>
              </w:rPr>
              <w:t>Handle in accordance with good industrial hygiene and safety practice.</w:t>
            </w:r>
          </w:p>
        </w:tc>
      </w:tr>
      <w:tr w:rsidR="00506915" w:rsidRPr="00E56E55" w14:paraId="532ECB15" w14:textId="77777777" w:rsidTr="00E56E55">
        <w:tc>
          <w:tcPr>
            <w:tcW w:w="684" w:type="dxa"/>
          </w:tcPr>
          <w:p w14:paraId="5270A17C" w14:textId="5A1EEA21" w:rsidR="00506915" w:rsidRPr="00E56E55" w:rsidRDefault="00506915" w:rsidP="00912BC2">
            <w:pPr>
              <w:rPr>
                <w:b/>
                <w:bCs/>
                <w:sz w:val="20"/>
                <w:szCs w:val="20"/>
              </w:rPr>
            </w:pPr>
            <w:r w:rsidRPr="00E56E55">
              <w:rPr>
                <w:b/>
                <w:bCs/>
                <w:sz w:val="20"/>
                <w:szCs w:val="20"/>
              </w:rPr>
              <w:t>11.12</w:t>
            </w:r>
          </w:p>
        </w:tc>
        <w:tc>
          <w:tcPr>
            <w:tcW w:w="2997" w:type="dxa"/>
          </w:tcPr>
          <w:p w14:paraId="45EFFDB8" w14:textId="4B29D451" w:rsidR="00506915" w:rsidRPr="00E56E55" w:rsidRDefault="00506915" w:rsidP="00912BC2">
            <w:pPr>
              <w:rPr>
                <w:b/>
                <w:sz w:val="20"/>
                <w:szCs w:val="20"/>
              </w:rPr>
            </w:pPr>
            <w:r w:rsidRPr="00E56E55">
              <w:rPr>
                <w:b/>
                <w:sz w:val="20"/>
                <w:szCs w:val="20"/>
              </w:rPr>
              <w:t>Experience with human exposure</w:t>
            </w:r>
          </w:p>
        </w:tc>
        <w:tc>
          <w:tcPr>
            <w:tcW w:w="5345" w:type="dxa"/>
            <w:tcBorders>
              <w:top w:val="single" w:sz="4" w:space="0" w:color="auto"/>
            </w:tcBorders>
          </w:tcPr>
          <w:p w14:paraId="22E5565C" w14:textId="1DD28413" w:rsidR="00506915" w:rsidRPr="00E56E55" w:rsidRDefault="00A57B2A" w:rsidP="00912BC2">
            <w:pPr>
              <w:rPr>
                <w:sz w:val="20"/>
                <w:szCs w:val="20"/>
              </w:rPr>
            </w:pPr>
            <w:r w:rsidRPr="00E56E55">
              <w:rPr>
                <w:sz w:val="20"/>
                <w:szCs w:val="20"/>
              </w:rPr>
              <w:t>Health injuries are not known or expected under normal use.</w:t>
            </w:r>
          </w:p>
        </w:tc>
      </w:tr>
    </w:tbl>
    <w:p w14:paraId="36BEADAC" w14:textId="77777777" w:rsidR="00506915" w:rsidRPr="00E56E55" w:rsidRDefault="00506915" w:rsidP="00506915">
      <w:pPr>
        <w:spacing w:after="0"/>
        <w:rPr>
          <w:sz w:val="20"/>
          <w:szCs w:val="20"/>
        </w:rPr>
      </w:pPr>
    </w:p>
    <w:p w14:paraId="4C02FB00" w14:textId="5F86AF40" w:rsidR="00A57B2A" w:rsidRPr="00E56E55" w:rsidRDefault="00A57B2A">
      <w:pPr>
        <w:rPr>
          <w:sz w:val="20"/>
          <w:szCs w:val="20"/>
        </w:rPr>
      </w:pPr>
      <w:r w:rsidRPr="00E56E55">
        <w:rPr>
          <w:sz w:val="20"/>
          <w:szCs w:val="20"/>
        </w:rPr>
        <w:br w:type="page"/>
      </w:r>
    </w:p>
    <w:p w14:paraId="4B50F11A" w14:textId="526DB145" w:rsidR="00A57B2A" w:rsidRPr="00E56E55" w:rsidRDefault="00A57B2A" w:rsidP="00A57B2A">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lastRenderedPageBreak/>
        <w:t xml:space="preserve">SECTION 12: ECOLOGICAL INFORMATION </w:t>
      </w:r>
    </w:p>
    <w:p w14:paraId="7B3E3F05" w14:textId="77777777" w:rsidR="00A57B2A" w:rsidRPr="00E56E55" w:rsidRDefault="00A57B2A" w:rsidP="00A57B2A">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024"/>
        <w:gridCol w:w="5428"/>
      </w:tblGrid>
      <w:tr w:rsidR="00A57B2A" w:rsidRPr="00E56E55" w14:paraId="2D9376E0" w14:textId="77777777" w:rsidTr="00E56E55">
        <w:tc>
          <w:tcPr>
            <w:tcW w:w="495" w:type="dxa"/>
          </w:tcPr>
          <w:p w14:paraId="1E049516" w14:textId="15AF6484" w:rsidR="00A57B2A" w:rsidRPr="00E56E55" w:rsidRDefault="00A57B2A" w:rsidP="00912BC2">
            <w:pPr>
              <w:rPr>
                <w:b/>
                <w:bCs/>
                <w:sz w:val="20"/>
                <w:szCs w:val="20"/>
              </w:rPr>
            </w:pPr>
            <w:r w:rsidRPr="00E56E55">
              <w:rPr>
                <w:b/>
                <w:bCs/>
                <w:sz w:val="20"/>
                <w:szCs w:val="20"/>
              </w:rPr>
              <w:t>1</w:t>
            </w:r>
            <w:r w:rsidR="002B7A67" w:rsidRPr="00E56E55">
              <w:rPr>
                <w:b/>
                <w:bCs/>
                <w:sz w:val="20"/>
                <w:szCs w:val="20"/>
              </w:rPr>
              <w:t>2</w:t>
            </w:r>
            <w:r w:rsidRPr="00E56E55">
              <w:rPr>
                <w:b/>
                <w:bCs/>
                <w:sz w:val="20"/>
                <w:szCs w:val="20"/>
              </w:rPr>
              <w:t>.1</w:t>
            </w:r>
          </w:p>
        </w:tc>
        <w:tc>
          <w:tcPr>
            <w:tcW w:w="3044" w:type="dxa"/>
          </w:tcPr>
          <w:p w14:paraId="30D8209E" w14:textId="72D61322" w:rsidR="00A57B2A" w:rsidRPr="00E56E55" w:rsidRDefault="002B7A67" w:rsidP="00912BC2">
            <w:pPr>
              <w:rPr>
                <w:sz w:val="20"/>
                <w:szCs w:val="20"/>
              </w:rPr>
            </w:pPr>
            <w:r w:rsidRPr="00E56E55">
              <w:rPr>
                <w:b/>
                <w:sz w:val="20"/>
                <w:szCs w:val="20"/>
              </w:rPr>
              <w:t>Acute toxicity</w:t>
            </w:r>
          </w:p>
        </w:tc>
        <w:tc>
          <w:tcPr>
            <w:tcW w:w="5477" w:type="dxa"/>
            <w:tcBorders>
              <w:bottom w:val="single" w:sz="4" w:space="0" w:color="auto"/>
            </w:tcBorders>
          </w:tcPr>
          <w:p w14:paraId="6F866D25" w14:textId="163D0DB8" w:rsidR="002B7A67" w:rsidRPr="00E56E55" w:rsidRDefault="002B7A67" w:rsidP="002B7A67">
            <w:pPr>
              <w:rPr>
                <w:sz w:val="20"/>
                <w:szCs w:val="20"/>
              </w:rPr>
            </w:pPr>
            <w:r w:rsidRPr="00E56E55">
              <w:rPr>
                <w:sz w:val="20"/>
                <w:szCs w:val="20"/>
              </w:rPr>
              <w:t>Fish - LC50: 40613 mg/l (Oncorhynchus mykiss; 96 h) (static test)</w:t>
            </w:r>
          </w:p>
          <w:p w14:paraId="1316241F" w14:textId="312D815D" w:rsidR="002B7A67" w:rsidRPr="00E56E55" w:rsidRDefault="002B7A67" w:rsidP="002B7A67">
            <w:pPr>
              <w:rPr>
                <w:sz w:val="20"/>
                <w:szCs w:val="20"/>
              </w:rPr>
            </w:pPr>
            <w:r w:rsidRPr="00E56E55">
              <w:rPr>
                <w:sz w:val="20"/>
                <w:szCs w:val="20"/>
              </w:rPr>
              <w:t>Daphnia and other aquatic invertebrates - LC50: 18340 mg/l (</w:t>
            </w:r>
            <w:proofErr w:type="spellStart"/>
            <w:r w:rsidRPr="00E56E55">
              <w:rPr>
                <w:sz w:val="20"/>
                <w:szCs w:val="20"/>
              </w:rPr>
              <w:t>Ceriodaphnia</w:t>
            </w:r>
            <w:proofErr w:type="spellEnd"/>
            <w:r w:rsidRPr="00E56E55">
              <w:rPr>
                <w:sz w:val="20"/>
                <w:szCs w:val="20"/>
              </w:rPr>
              <w:t xml:space="preserve"> Dubia (water flea); 48 h) (static test) </w:t>
            </w:r>
          </w:p>
          <w:p w14:paraId="53748085" w14:textId="60A1C5D3" w:rsidR="002B7A67" w:rsidRPr="00E56E55" w:rsidRDefault="002B7A67" w:rsidP="002B7A67">
            <w:pPr>
              <w:rPr>
                <w:sz w:val="20"/>
                <w:szCs w:val="20"/>
              </w:rPr>
            </w:pPr>
            <w:r w:rsidRPr="00E56E55">
              <w:rPr>
                <w:sz w:val="20"/>
                <w:szCs w:val="20"/>
              </w:rPr>
              <w:t>Algae - ErC50: 19000 mg/l (</w:t>
            </w:r>
            <w:proofErr w:type="spellStart"/>
            <w:r w:rsidRPr="00E56E55">
              <w:rPr>
                <w:sz w:val="20"/>
                <w:szCs w:val="20"/>
              </w:rPr>
              <w:t>Pseudokirchneriella</w:t>
            </w:r>
            <w:proofErr w:type="spellEnd"/>
            <w:r w:rsidRPr="00E56E55">
              <w:rPr>
                <w:sz w:val="20"/>
                <w:szCs w:val="20"/>
              </w:rPr>
              <w:t xml:space="preserve"> </w:t>
            </w:r>
            <w:proofErr w:type="spellStart"/>
            <w:r w:rsidRPr="00E56E55">
              <w:rPr>
                <w:sz w:val="20"/>
                <w:szCs w:val="20"/>
              </w:rPr>
              <w:t>subcapitata</w:t>
            </w:r>
            <w:proofErr w:type="spellEnd"/>
            <w:r w:rsidRPr="00E56E55">
              <w:rPr>
                <w:sz w:val="20"/>
                <w:szCs w:val="20"/>
              </w:rPr>
              <w:t xml:space="preserve"> (green algae); 96 h) (Growth inhibition)</w:t>
            </w:r>
          </w:p>
          <w:p w14:paraId="35DF3DE4" w14:textId="50562892" w:rsidR="002B7A67" w:rsidRPr="00E56E55" w:rsidRDefault="002B7A67" w:rsidP="002B7A67">
            <w:pPr>
              <w:rPr>
                <w:sz w:val="20"/>
                <w:szCs w:val="20"/>
              </w:rPr>
            </w:pPr>
            <w:r w:rsidRPr="00E56E55">
              <w:rPr>
                <w:sz w:val="20"/>
                <w:szCs w:val="20"/>
              </w:rPr>
              <w:t>Bacteria - NOEC: &gt; 20000 mg/l (Pseudomonas putida; 18 h) Chronic toxicity</w:t>
            </w:r>
          </w:p>
          <w:p w14:paraId="6E682D01" w14:textId="28168692" w:rsidR="00A57B2A" w:rsidRPr="00E56E55" w:rsidRDefault="002B7A67" w:rsidP="00912BC2">
            <w:pPr>
              <w:rPr>
                <w:sz w:val="20"/>
                <w:szCs w:val="20"/>
              </w:rPr>
            </w:pPr>
            <w:r w:rsidRPr="00E56E55">
              <w:rPr>
                <w:sz w:val="20"/>
                <w:szCs w:val="20"/>
              </w:rPr>
              <w:t>Aquatic invertebrates - NOEC: 13020 mg/l (</w:t>
            </w:r>
            <w:proofErr w:type="spellStart"/>
            <w:r w:rsidRPr="00E56E55">
              <w:rPr>
                <w:sz w:val="20"/>
                <w:szCs w:val="20"/>
              </w:rPr>
              <w:t>Ceriodaphnia</w:t>
            </w:r>
            <w:proofErr w:type="spellEnd"/>
            <w:r w:rsidRPr="00E56E55">
              <w:rPr>
                <w:sz w:val="20"/>
                <w:szCs w:val="20"/>
              </w:rPr>
              <w:t xml:space="preserve"> Dubia (water flea); 7 d) (semi-static test)</w:t>
            </w:r>
          </w:p>
        </w:tc>
      </w:tr>
      <w:tr w:rsidR="00A57B2A" w:rsidRPr="00E56E55" w14:paraId="031D847B" w14:textId="77777777" w:rsidTr="00E56E55">
        <w:tc>
          <w:tcPr>
            <w:tcW w:w="495" w:type="dxa"/>
          </w:tcPr>
          <w:p w14:paraId="0D443E6E" w14:textId="2BDF0AFB" w:rsidR="00A57B2A" w:rsidRPr="00E56E55" w:rsidRDefault="002B7A67" w:rsidP="00912BC2">
            <w:pPr>
              <w:rPr>
                <w:b/>
                <w:bCs/>
                <w:sz w:val="20"/>
                <w:szCs w:val="20"/>
              </w:rPr>
            </w:pPr>
            <w:r w:rsidRPr="00E56E55">
              <w:rPr>
                <w:b/>
                <w:bCs/>
                <w:sz w:val="20"/>
                <w:szCs w:val="20"/>
              </w:rPr>
              <w:t>12.2</w:t>
            </w:r>
          </w:p>
        </w:tc>
        <w:tc>
          <w:tcPr>
            <w:tcW w:w="3044" w:type="dxa"/>
          </w:tcPr>
          <w:p w14:paraId="0E1BA747" w14:textId="5919CF46" w:rsidR="00A57B2A" w:rsidRPr="00E56E55" w:rsidRDefault="002B7A67" w:rsidP="00912BC2">
            <w:pPr>
              <w:rPr>
                <w:sz w:val="20"/>
                <w:szCs w:val="20"/>
              </w:rPr>
            </w:pPr>
            <w:r w:rsidRPr="00E56E55">
              <w:rPr>
                <w:b/>
                <w:sz w:val="20"/>
                <w:szCs w:val="20"/>
              </w:rPr>
              <w:t>Persistence and degradability</w:t>
            </w:r>
          </w:p>
        </w:tc>
        <w:tc>
          <w:tcPr>
            <w:tcW w:w="5477" w:type="dxa"/>
            <w:tcBorders>
              <w:top w:val="single" w:sz="4" w:space="0" w:color="auto"/>
              <w:bottom w:val="single" w:sz="4" w:space="0" w:color="auto"/>
            </w:tcBorders>
          </w:tcPr>
          <w:p w14:paraId="40BE0AAE" w14:textId="77777777" w:rsidR="002B7A67" w:rsidRPr="00E56E55" w:rsidRDefault="002B7A67" w:rsidP="002B7A67">
            <w:pPr>
              <w:rPr>
                <w:sz w:val="20"/>
                <w:szCs w:val="20"/>
              </w:rPr>
            </w:pPr>
            <w:r w:rsidRPr="00E56E55">
              <w:rPr>
                <w:sz w:val="20"/>
                <w:szCs w:val="20"/>
              </w:rPr>
              <w:t xml:space="preserve">Biodegradability 81 % (anaerobic; Exposure Time: 28 </w:t>
            </w:r>
            <w:proofErr w:type="gramStart"/>
            <w:r w:rsidRPr="00E56E55">
              <w:rPr>
                <w:sz w:val="20"/>
                <w:szCs w:val="20"/>
              </w:rPr>
              <w:t>d)(</w:t>
            </w:r>
            <w:proofErr w:type="gramEnd"/>
            <w:r w:rsidRPr="00E56E55">
              <w:rPr>
                <w:sz w:val="20"/>
                <w:szCs w:val="20"/>
              </w:rPr>
              <w:t xml:space="preserve">OECD 301 F) </w:t>
            </w:r>
          </w:p>
          <w:p w14:paraId="55ED13CD" w14:textId="2504C89B" w:rsidR="00A57B2A" w:rsidRPr="00E56E55" w:rsidRDefault="002B7A67" w:rsidP="00912BC2">
            <w:pPr>
              <w:rPr>
                <w:sz w:val="20"/>
                <w:szCs w:val="20"/>
              </w:rPr>
            </w:pPr>
            <w:r w:rsidRPr="00E56E55">
              <w:rPr>
                <w:sz w:val="20"/>
                <w:szCs w:val="20"/>
              </w:rPr>
              <w:t xml:space="preserve">Readily biodegradable 96 % (anaerobic; Exposure Time: 64 </w:t>
            </w:r>
            <w:proofErr w:type="gramStart"/>
            <w:r w:rsidRPr="00E56E55">
              <w:rPr>
                <w:sz w:val="20"/>
                <w:szCs w:val="20"/>
              </w:rPr>
              <w:t>d)(</w:t>
            </w:r>
            <w:proofErr w:type="gramEnd"/>
            <w:r w:rsidRPr="00E56E55">
              <w:rPr>
                <w:sz w:val="20"/>
                <w:szCs w:val="20"/>
              </w:rPr>
              <w:t>OECD 306.)</w:t>
            </w:r>
          </w:p>
        </w:tc>
      </w:tr>
      <w:tr w:rsidR="00A57B2A" w:rsidRPr="00E56E55" w14:paraId="4A6CE652" w14:textId="77777777" w:rsidTr="00E56E55">
        <w:tc>
          <w:tcPr>
            <w:tcW w:w="495" w:type="dxa"/>
          </w:tcPr>
          <w:p w14:paraId="1E701078" w14:textId="260D4D7E" w:rsidR="00A57B2A" w:rsidRPr="00E56E55" w:rsidRDefault="002B7A67" w:rsidP="00912BC2">
            <w:pPr>
              <w:rPr>
                <w:b/>
                <w:bCs/>
                <w:sz w:val="20"/>
                <w:szCs w:val="20"/>
              </w:rPr>
            </w:pPr>
            <w:r w:rsidRPr="00E56E55">
              <w:rPr>
                <w:b/>
                <w:bCs/>
                <w:sz w:val="20"/>
                <w:szCs w:val="20"/>
              </w:rPr>
              <w:t>12.3</w:t>
            </w:r>
          </w:p>
        </w:tc>
        <w:tc>
          <w:tcPr>
            <w:tcW w:w="3044" w:type="dxa"/>
          </w:tcPr>
          <w:p w14:paraId="4C347E66" w14:textId="153413BF" w:rsidR="00A57B2A" w:rsidRPr="00E56E55" w:rsidRDefault="002B7A67" w:rsidP="00912BC2">
            <w:pPr>
              <w:rPr>
                <w:sz w:val="20"/>
                <w:szCs w:val="20"/>
              </w:rPr>
            </w:pPr>
            <w:proofErr w:type="spellStart"/>
            <w:r w:rsidRPr="00E56E55">
              <w:rPr>
                <w:b/>
                <w:sz w:val="20"/>
                <w:szCs w:val="20"/>
              </w:rPr>
              <w:t>Bioaccumulative</w:t>
            </w:r>
            <w:proofErr w:type="spellEnd"/>
            <w:r w:rsidRPr="00E56E55">
              <w:rPr>
                <w:b/>
                <w:sz w:val="20"/>
                <w:szCs w:val="20"/>
              </w:rPr>
              <w:t xml:space="preserve"> potential</w:t>
            </w:r>
          </w:p>
        </w:tc>
        <w:tc>
          <w:tcPr>
            <w:tcW w:w="5477" w:type="dxa"/>
            <w:tcBorders>
              <w:top w:val="single" w:sz="4" w:space="0" w:color="auto"/>
              <w:bottom w:val="single" w:sz="4" w:space="0" w:color="auto"/>
            </w:tcBorders>
          </w:tcPr>
          <w:p w14:paraId="0B11F190" w14:textId="003B5684" w:rsidR="00A57B2A" w:rsidRPr="00E56E55" w:rsidRDefault="002B7A67" w:rsidP="002B7A67">
            <w:pPr>
              <w:rPr>
                <w:sz w:val="20"/>
                <w:szCs w:val="20"/>
              </w:rPr>
            </w:pPr>
            <w:r w:rsidRPr="00E56E55">
              <w:rPr>
                <w:sz w:val="20"/>
                <w:szCs w:val="20"/>
              </w:rPr>
              <w:t xml:space="preserve">BCF - 0.09 estimated Low </w:t>
            </w:r>
            <w:proofErr w:type="spellStart"/>
            <w:r w:rsidRPr="00E56E55">
              <w:rPr>
                <w:sz w:val="20"/>
                <w:szCs w:val="20"/>
              </w:rPr>
              <w:t>bioaccumulative</w:t>
            </w:r>
            <w:proofErr w:type="spellEnd"/>
            <w:r w:rsidRPr="00E56E55">
              <w:rPr>
                <w:sz w:val="20"/>
                <w:szCs w:val="20"/>
              </w:rPr>
              <w:t xml:space="preserve"> potential</w:t>
            </w:r>
          </w:p>
        </w:tc>
      </w:tr>
      <w:tr w:rsidR="00A57B2A" w:rsidRPr="00E56E55" w14:paraId="2A1029F5" w14:textId="77777777" w:rsidTr="00E56E55">
        <w:tc>
          <w:tcPr>
            <w:tcW w:w="495" w:type="dxa"/>
          </w:tcPr>
          <w:p w14:paraId="4ECCBCCB" w14:textId="13585A01" w:rsidR="00A57B2A" w:rsidRPr="00E56E55" w:rsidRDefault="002B7A67" w:rsidP="00912BC2">
            <w:pPr>
              <w:rPr>
                <w:b/>
                <w:bCs/>
                <w:sz w:val="20"/>
                <w:szCs w:val="20"/>
              </w:rPr>
            </w:pPr>
            <w:r w:rsidRPr="00E56E55">
              <w:rPr>
                <w:b/>
                <w:bCs/>
                <w:sz w:val="20"/>
                <w:szCs w:val="20"/>
              </w:rPr>
              <w:t>12.4</w:t>
            </w:r>
          </w:p>
        </w:tc>
        <w:tc>
          <w:tcPr>
            <w:tcW w:w="3044" w:type="dxa"/>
          </w:tcPr>
          <w:p w14:paraId="1F738BE5" w14:textId="17C90517" w:rsidR="00A57B2A" w:rsidRPr="00E56E55" w:rsidRDefault="002B7A67" w:rsidP="00912BC2">
            <w:pPr>
              <w:rPr>
                <w:sz w:val="20"/>
                <w:szCs w:val="20"/>
              </w:rPr>
            </w:pPr>
            <w:r w:rsidRPr="00E56E55">
              <w:rPr>
                <w:b/>
                <w:sz w:val="20"/>
                <w:szCs w:val="20"/>
              </w:rPr>
              <w:t>Mobility</w:t>
            </w:r>
          </w:p>
        </w:tc>
        <w:tc>
          <w:tcPr>
            <w:tcW w:w="5477" w:type="dxa"/>
            <w:tcBorders>
              <w:top w:val="single" w:sz="4" w:space="0" w:color="auto"/>
              <w:bottom w:val="single" w:sz="4" w:space="0" w:color="auto"/>
            </w:tcBorders>
          </w:tcPr>
          <w:p w14:paraId="2ECA82FF" w14:textId="57F0A1CE" w:rsidR="00A57B2A" w:rsidRPr="00E56E55" w:rsidRDefault="002B7A67" w:rsidP="00912BC2">
            <w:pPr>
              <w:pStyle w:val="NoSpacing"/>
              <w:rPr>
                <w:rFonts w:ascii="Asap" w:hAnsi="Asap"/>
                <w:b/>
                <w:sz w:val="20"/>
                <w:szCs w:val="20"/>
                <w:u w:val="single"/>
              </w:rPr>
            </w:pPr>
            <w:r w:rsidRPr="00E56E55">
              <w:rPr>
                <w:rFonts w:ascii="Asap" w:hAnsi="Asap"/>
                <w:sz w:val="20"/>
                <w:szCs w:val="20"/>
              </w:rPr>
              <w:t>Estimated Koc &lt; 1, indicating very high soil mobility.</w:t>
            </w:r>
          </w:p>
        </w:tc>
      </w:tr>
      <w:tr w:rsidR="00A57B2A" w:rsidRPr="00E56E55" w14:paraId="452B1428" w14:textId="77777777" w:rsidTr="00E56E55">
        <w:tc>
          <w:tcPr>
            <w:tcW w:w="495" w:type="dxa"/>
          </w:tcPr>
          <w:p w14:paraId="4926741F" w14:textId="2831A45F" w:rsidR="00A57B2A" w:rsidRPr="00E56E55" w:rsidRDefault="002B7A67" w:rsidP="00912BC2">
            <w:pPr>
              <w:rPr>
                <w:b/>
                <w:bCs/>
                <w:sz w:val="20"/>
                <w:szCs w:val="20"/>
              </w:rPr>
            </w:pPr>
            <w:r w:rsidRPr="00E56E55">
              <w:rPr>
                <w:b/>
                <w:bCs/>
                <w:sz w:val="20"/>
                <w:szCs w:val="20"/>
              </w:rPr>
              <w:t>12.5</w:t>
            </w:r>
          </w:p>
        </w:tc>
        <w:tc>
          <w:tcPr>
            <w:tcW w:w="3044" w:type="dxa"/>
          </w:tcPr>
          <w:p w14:paraId="6341941D" w14:textId="3E801BBB" w:rsidR="00A57B2A" w:rsidRPr="00E56E55" w:rsidRDefault="002B7A67" w:rsidP="00912BC2">
            <w:pPr>
              <w:rPr>
                <w:sz w:val="20"/>
                <w:szCs w:val="20"/>
              </w:rPr>
            </w:pPr>
            <w:r w:rsidRPr="00E56E55">
              <w:rPr>
                <w:b/>
                <w:sz w:val="20"/>
                <w:szCs w:val="20"/>
              </w:rPr>
              <w:t xml:space="preserve">PBT and </w:t>
            </w:r>
            <w:proofErr w:type="spellStart"/>
            <w:r w:rsidRPr="00E56E55">
              <w:rPr>
                <w:b/>
                <w:sz w:val="20"/>
                <w:szCs w:val="20"/>
              </w:rPr>
              <w:t>vPvB</w:t>
            </w:r>
            <w:proofErr w:type="spellEnd"/>
            <w:r w:rsidRPr="00E56E55">
              <w:rPr>
                <w:b/>
                <w:sz w:val="20"/>
                <w:szCs w:val="20"/>
              </w:rPr>
              <w:t xml:space="preserve"> assessment</w:t>
            </w:r>
          </w:p>
        </w:tc>
        <w:tc>
          <w:tcPr>
            <w:tcW w:w="5477" w:type="dxa"/>
            <w:tcBorders>
              <w:top w:val="single" w:sz="4" w:space="0" w:color="auto"/>
              <w:bottom w:val="single" w:sz="4" w:space="0" w:color="auto"/>
            </w:tcBorders>
          </w:tcPr>
          <w:p w14:paraId="65DC07FB" w14:textId="5B9BA1B1" w:rsidR="00A57B2A" w:rsidRPr="00E56E55" w:rsidRDefault="002B7A67" w:rsidP="00912BC2">
            <w:pPr>
              <w:rPr>
                <w:sz w:val="20"/>
                <w:szCs w:val="20"/>
              </w:rPr>
            </w:pPr>
            <w:r w:rsidRPr="00E56E55">
              <w:rPr>
                <w:sz w:val="20"/>
                <w:szCs w:val="20"/>
              </w:rPr>
              <w:t xml:space="preserve">Not a PBT or </w:t>
            </w:r>
            <w:proofErr w:type="spellStart"/>
            <w:r w:rsidRPr="00E56E55">
              <w:rPr>
                <w:sz w:val="20"/>
                <w:szCs w:val="20"/>
              </w:rPr>
              <w:t>vPvB</w:t>
            </w:r>
            <w:proofErr w:type="spellEnd"/>
            <w:r w:rsidRPr="00E56E55">
              <w:rPr>
                <w:sz w:val="20"/>
                <w:szCs w:val="20"/>
              </w:rPr>
              <w:t xml:space="preserve"> substance or mixture</w:t>
            </w:r>
          </w:p>
        </w:tc>
      </w:tr>
      <w:tr w:rsidR="002B7A67" w:rsidRPr="00E56E55" w14:paraId="5ABB81F2" w14:textId="77777777" w:rsidTr="00E56E55">
        <w:tc>
          <w:tcPr>
            <w:tcW w:w="495" w:type="dxa"/>
          </w:tcPr>
          <w:p w14:paraId="48DF9F22" w14:textId="24922B16" w:rsidR="002B7A67" w:rsidRPr="00E56E55" w:rsidRDefault="002B7A67" w:rsidP="00912BC2">
            <w:pPr>
              <w:rPr>
                <w:b/>
                <w:bCs/>
                <w:sz w:val="20"/>
                <w:szCs w:val="20"/>
              </w:rPr>
            </w:pPr>
            <w:r w:rsidRPr="00E56E55">
              <w:rPr>
                <w:b/>
                <w:bCs/>
                <w:sz w:val="20"/>
                <w:szCs w:val="20"/>
              </w:rPr>
              <w:t>12.6</w:t>
            </w:r>
          </w:p>
        </w:tc>
        <w:tc>
          <w:tcPr>
            <w:tcW w:w="3044" w:type="dxa"/>
          </w:tcPr>
          <w:p w14:paraId="45E8C53A" w14:textId="0F927E21" w:rsidR="002B7A67" w:rsidRPr="00E56E55" w:rsidRDefault="002B7A67" w:rsidP="00912BC2">
            <w:pPr>
              <w:rPr>
                <w:b/>
                <w:sz w:val="20"/>
                <w:szCs w:val="20"/>
              </w:rPr>
            </w:pPr>
            <w:r w:rsidRPr="00E56E55">
              <w:rPr>
                <w:b/>
                <w:sz w:val="20"/>
                <w:szCs w:val="20"/>
              </w:rPr>
              <w:t xml:space="preserve">Other </w:t>
            </w:r>
            <w:proofErr w:type="spellStart"/>
            <w:r w:rsidRPr="00E56E55">
              <w:rPr>
                <w:b/>
                <w:sz w:val="20"/>
                <w:szCs w:val="20"/>
              </w:rPr>
              <w:t>adverse affects</w:t>
            </w:r>
            <w:proofErr w:type="spellEnd"/>
          </w:p>
        </w:tc>
        <w:tc>
          <w:tcPr>
            <w:tcW w:w="5477" w:type="dxa"/>
            <w:tcBorders>
              <w:top w:val="single" w:sz="4" w:space="0" w:color="auto"/>
            </w:tcBorders>
          </w:tcPr>
          <w:p w14:paraId="0DE30ECD" w14:textId="6EB7DDAD" w:rsidR="002B7A67" w:rsidRPr="00E56E55" w:rsidRDefault="002B7A67" w:rsidP="00912BC2">
            <w:pPr>
              <w:rPr>
                <w:sz w:val="20"/>
                <w:szCs w:val="20"/>
              </w:rPr>
            </w:pPr>
            <w:r w:rsidRPr="00E56E55">
              <w:rPr>
                <w:sz w:val="20"/>
                <w:szCs w:val="20"/>
              </w:rPr>
              <w:t>Do not flush into surface water or sanitary sewer system. Avoid subsoil penetration. This substance is not in Annex I of Regulation (EC) 2037/2000 on substances that deplete the ozone layer.</w:t>
            </w:r>
          </w:p>
        </w:tc>
      </w:tr>
    </w:tbl>
    <w:p w14:paraId="20B1128F" w14:textId="77777777" w:rsidR="00A57B2A" w:rsidRPr="00E56E55" w:rsidRDefault="00A57B2A" w:rsidP="00A57B2A">
      <w:pPr>
        <w:spacing w:after="0"/>
        <w:rPr>
          <w:sz w:val="20"/>
          <w:szCs w:val="20"/>
        </w:rPr>
      </w:pPr>
    </w:p>
    <w:p w14:paraId="4421AB20" w14:textId="16456B98" w:rsidR="00A57B2A" w:rsidRPr="00E56E55" w:rsidRDefault="00A57B2A" w:rsidP="00A57B2A">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 xml:space="preserve">SECTION </w:t>
      </w:r>
      <w:r w:rsidR="002B7A67" w:rsidRPr="00E56E55">
        <w:rPr>
          <w:rFonts w:ascii="Asap" w:hAnsi="Asap"/>
          <w:b/>
          <w:sz w:val="20"/>
          <w:szCs w:val="20"/>
        </w:rPr>
        <w:t>13</w:t>
      </w:r>
      <w:r w:rsidRPr="00E56E55">
        <w:rPr>
          <w:rFonts w:ascii="Asap" w:hAnsi="Asap"/>
          <w:b/>
          <w:sz w:val="20"/>
          <w:szCs w:val="20"/>
        </w:rPr>
        <w:t xml:space="preserve">: </w:t>
      </w:r>
      <w:r w:rsidR="002B7A67" w:rsidRPr="00E56E55">
        <w:rPr>
          <w:rFonts w:ascii="Asap" w:hAnsi="Asap"/>
          <w:b/>
          <w:sz w:val="20"/>
          <w:szCs w:val="20"/>
        </w:rPr>
        <w:t>DISPOSAL CONSIDERATION</w:t>
      </w:r>
    </w:p>
    <w:p w14:paraId="5AAEC6C9" w14:textId="77777777" w:rsidR="00A57B2A" w:rsidRPr="00E56E55" w:rsidRDefault="00A57B2A" w:rsidP="00A57B2A">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3024"/>
        <w:gridCol w:w="5428"/>
      </w:tblGrid>
      <w:tr w:rsidR="00A57B2A" w:rsidRPr="00E56E55" w14:paraId="53DB2CA7" w14:textId="77777777" w:rsidTr="00912BC2">
        <w:tc>
          <w:tcPr>
            <w:tcW w:w="495" w:type="dxa"/>
          </w:tcPr>
          <w:p w14:paraId="7E0CF6E4" w14:textId="485B785F" w:rsidR="00A57B2A" w:rsidRPr="00E56E55" w:rsidRDefault="002B7A67" w:rsidP="00912BC2">
            <w:pPr>
              <w:rPr>
                <w:b/>
                <w:bCs/>
                <w:sz w:val="20"/>
                <w:szCs w:val="20"/>
              </w:rPr>
            </w:pPr>
            <w:r w:rsidRPr="00E56E55">
              <w:rPr>
                <w:b/>
                <w:bCs/>
                <w:sz w:val="20"/>
                <w:szCs w:val="20"/>
              </w:rPr>
              <w:t>13.1</w:t>
            </w:r>
          </w:p>
        </w:tc>
        <w:tc>
          <w:tcPr>
            <w:tcW w:w="3044" w:type="dxa"/>
          </w:tcPr>
          <w:p w14:paraId="52687BEB" w14:textId="606C5B9B" w:rsidR="00A57B2A" w:rsidRPr="00E56E55" w:rsidRDefault="002B7A67" w:rsidP="00912BC2">
            <w:pPr>
              <w:rPr>
                <w:sz w:val="20"/>
                <w:szCs w:val="20"/>
              </w:rPr>
            </w:pPr>
            <w:r w:rsidRPr="00E56E55">
              <w:rPr>
                <w:b/>
                <w:sz w:val="20"/>
                <w:szCs w:val="20"/>
              </w:rPr>
              <w:t>Waste treatment methods</w:t>
            </w:r>
          </w:p>
        </w:tc>
        <w:tc>
          <w:tcPr>
            <w:tcW w:w="5477" w:type="dxa"/>
          </w:tcPr>
          <w:p w14:paraId="2DB35546" w14:textId="232A312F" w:rsidR="00A57B2A" w:rsidRPr="00E56E55" w:rsidRDefault="002B7A67" w:rsidP="00E56E55">
            <w:pPr>
              <w:pStyle w:val="NoSpacing"/>
              <w:rPr>
                <w:rFonts w:ascii="Asap" w:hAnsi="Asap"/>
                <w:sz w:val="20"/>
                <w:szCs w:val="20"/>
              </w:rPr>
            </w:pPr>
            <w:r w:rsidRPr="00E56E55">
              <w:rPr>
                <w:rFonts w:ascii="Asap" w:hAnsi="Asap"/>
                <w:sz w:val="20"/>
                <w:szCs w:val="20"/>
              </w:rPr>
              <w:t>Disposal together with normal waste is not allowed. Special disposal required according to local regulations. Do not let product enter drains. Contact waste disposal services.</w:t>
            </w:r>
          </w:p>
        </w:tc>
      </w:tr>
      <w:tr w:rsidR="00A57B2A" w:rsidRPr="00E56E55" w14:paraId="1E4B62FD" w14:textId="77777777" w:rsidTr="00912BC2">
        <w:tc>
          <w:tcPr>
            <w:tcW w:w="495" w:type="dxa"/>
          </w:tcPr>
          <w:p w14:paraId="1A4CF4C9" w14:textId="55485692" w:rsidR="00A57B2A" w:rsidRPr="00E56E55" w:rsidRDefault="002B7A67" w:rsidP="00912BC2">
            <w:pPr>
              <w:rPr>
                <w:b/>
                <w:bCs/>
                <w:sz w:val="20"/>
                <w:szCs w:val="20"/>
              </w:rPr>
            </w:pPr>
            <w:r w:rsidRPr="00E56E55">
              <w:rPr>
                <w:b/>
                <w:bCs/>
                <w:sz w:val="20"/>
                <w:szCs w:val="20"/>
              </w:rPr>
              <w:t>13.2</w:t>
            </w:r>
          </w:p>
        </w:tc>
        <w:tc>
          <w:tcPr>
            <w:tcW w:w="3044" w:type="dxa"/>
          </w:tcPr>
          <w:p w14:paraId="15578F00" w14:textId="7293F64B" w:rsidR="00A57B2A" w:rsidRPr="00E56E55" w:rsidRDefault="002B7A67" w:rsidP="00E56E55">
            <w:pPr>
              <w:pStyle w:val="NoSpacing"/>
              <w:rPr>
                <w:rFonts w:ascii="Asap" w:hAnsi="Asap"/>
                <w:b/>
                <w:bCs/>
                <w:sz w:val="20"/>
                <w:szCs w:val="20"/>
              </w:rPr>
            </w:pPr>
            <w:r w:rsidRPr="00E56E55">
              <w:rPr>
                <w:rFonts w:ascii="Asap" w:hAnsi="Asap"/>
                <w:b/>
                <w:bCs/>
                <w:sz w:val="20"/>
                <w:szCs w:val="20"/>
              </w:rPr>
              <w:t>Contaminated packaging</w:t>
            </w:r>
          </w:p>
        </w:tc>
        <w:tc>
          <w:tcPr>
            <w:tcW w:w="5477" w:type="dxa"/>
          </w:tcPr>
          <w:p w14:paraId="1A795038" w14:textId="77777777" w:rsidR="002B7A67" w:rsidRPr="00E56E55" w:rsidRDefault="002B7A67" w:rsidP="00E56E55">
            <w:pPr>
              <w:pStyle w:val="NoSpacing"/>
              <w:pBdr>
                <w:top w:val="single" w:sz="4" w:space="1" w:color="auto"/>
                <w:bottom w:val="single" w:sz="4" w:space="1" w:color="auto"/>
              </w:pBdr>
              <w:rPr>
                <w:rFonts w:ascii="Asap" w:hAnsi="Asap"/>
                <w:sz w:val="20"/>
                <w:szCs w:val="20"/>
              </w:rPr>
            </w:pPr>
            <w:r w:rsidRPr="00E56E55">
              <w:rPr>
                <w:rFonts w:ascii="Asap" w:hAnsi="Asap"/>
                <w:sz w:val="20"/>
                <w:szCs w:val="20"/>
              </w:rPr>
              <w:t xml:space="preserve">Empty contaminated packaging thoroughly. They can be recycled after thorough and proper cleaning.  </w:t>
            </w:r>
          </w:p>
          <w:p w14:paraId="2C3C3F0B" w14:textId="33CB5499" w:rsidR="00A57B2A" w:rsidRPr="00E56E55" w:rsidRDefault="002B7A67" w:rsidP="00E56E55">
            <w:pPr>
              <w:pStyle w:val="NoSpacing"/>
              <w:pBdr>
                <w:top w:val="single" w:sz="4" w:space="1" w:color="auto"/>
                <w:bottom w:val="single" w:sz="4" w:space="1" w:color="auto"/>
              </w:pBdr>
              <w:rPr>
                <w:rFonts w:ascii="Asap" w:hAnsi="Asap"/>
                <w:sz w:val="20"/>
                <w:szCs w:val="20"/>
              </w:rPr>
            </w:pPr>
            <w:r w:rsidRPr="00E56E55">
              <w:rPr>
                <w:rFonts w:ascii="Asap" w:hAnsi="Asap"/>
                <w:sz w:val="20"/>
                <w:szCs w:val="20"/>
              </w:rPr>
              <w:t>Packaging that cannot be cleaned are to be disposed of in the same manner as the product.</w:t>
            </w:r>
          </w:p>
        </w:tc>
      </w:tr>
      <w:tr w:rsidR="00A57B2A" w:rsidRPr="00E56E55" w14:paraId="13A5C826" w14:textId="77777777" w:rsidTr="00912BC2">
        <w:tc>
          <w:tcPr>
            <w:tcW w:w="495" w:type="dxa"/>
          </w:tcPr>
          <w:p w14:paraId="4D213D28" w14:textId="6C2F3629" w:rsidR="00A57B2A" w:rsidRPr="00E56E55" w:rsidRDefault="002B7A67" w:rsidP="00912BC2">
            <w:pPr>
              <w:rPr>
                <w:b/>
                <w:bCs/>
                <w:sz w:val="20"/>
                <w:szCs w:val="20"/>
              </w:rPr>
            </w:pPr>
            <w:r w:rsidRPr="00E56E55">
              <w:rPr>
                <w:b/>
                <w:bCs/>
                <w:sz w:val="20"/>
                <w:szCs w:val="20"/>
              </w:rPr>
              <w:t>13.3</w:t>
            </w:r>
          </w:p>
        </w:tc>
        <w:tc>
          <w:tcPr>
            <w:tcW w:w="3044" w:type="dxa"/>
          </w:tcPr>
          <w:p w14:paraId="0F33F8AF" w14:textId="7518C4AF" w:rsidR="00A57B2A" w:rsidRPr="00E56E55" w:rsidRDefault="002B7A67" w:rsidP="00912BC2">
            <w:pPr>
              <w:rPr>
                <w:sz w:val="20"/>
                <w:szCs w:val="20"/>
              </w:rPr>
            </w:pPr>
            <w:r w:rsidRPr="00E56E55">
              <w:rPr>
                <w:b/>
                <w:sz w:val="20"/>
                <w:szCs w:val="20"/>
              </w:rPr>
              <w:t>European Waste Catalogue Number</w:t>
            </w:r>
          </w:p>
        </w:tc>
        <w:tc>
          <w:tcPr>
            <w:tcW w:w="5477" w:type="dxa"/>
          </w:tcPr>
          <w:p w14:paraId="57D7FA2F" w14:textId="5C9C907A" w:rsidR="00A57B2A" w:rsidRPr="00E56E55" w:rsidRDefault="002B7A67" w:rsidP="002B7A67">
            <w:pPr>
              <w:rPr>
                <w:sz w:val="20"/>
                <w:szCs w:val="20"/>
              </w:rPr>
            </w:pPr>
            <w:r w:rsidRPr="00E56E55">
              <w:rPr>
                <w:sz w:val="20"/>
                <w:szCs w:val="20"/>
              </w:rPr>
              <w:t>No waste code according to the European Waste Catalogue can be assigned for this product, as the intended use dictates the assignment. The waste code is established in consultation with the regional waste disposer.</w:t>
            </w:r>
          </w:p>
        </w:tc>
      </w:tr>
    </w:tbl>
    <w:p w14:paraId="59FC22EF" w14:textId="77777777" w:rsidR="00A57B2A" w:rsidRPr="00E56E55" w:rsidRDefault="00A57B2A" w:rsidP="00A57B2A">
      <w:pPr>
        <w:spacing w:after="0"/>
        <w:rPr>
          <w:sz w:val="20"/>
          <w:szCs w:val="20"/>
        </w:rPr>
      </w:pPr>
    </w:p>
    <w:p w14:paraId="38D50F74" w14:textId="155D5FA7" w:rsidR="00A57B2A" w:rsidRPr="00E56E55" w:rsidRDefault="00A57B2A" w:rsidP="00A57B2A">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 xml:space="preserve">SECTION </w:t>
      </w:r>
      <w:r w:rsidR="002B7A67" w:rsidRPr="00E56E55">
        <w:rPr>
          <w:rFonts w:ascii="Asap" w:hAnsi="Asap"/>
          <w:b/>
          <w:sz w:val="20"/>
          <w:szCs w:val="20"/>
        </w:rPr>
        <w:t>14</w:t>
      </w:r>
      <w:r w:rsidRPr="00E56E55">
        <w:rPr>
          <w:rFonts w:ascii="Asap" w:hAnsi="Asap"/>
          <w:b/>
          <w:sz w:val="20"/>
          <w:szCs w:val="20"/>
        </w:rPr>
        <w:t>:</w:t>
      </w:r>
      <w:r w:rsidR="002B7A67" w:rsidRPr="00E56E55">
        <w:rPr>
          <w:rFonts w:ascii="Asap" w:hAnsi="Asap"/>
          <w:b/>
          <w:sz w:val="20"/>
          <w:szCs w:val="20"/>
        </w:rPr>
        <w:t xml:space="preserve"> TRANSPORT INFORMATION</w:t>
      </w:r>
      <w:r w:rsidRPr="00E56E55">
        <w:rPr>
          <w:rFonts w:ascii="Asap" w:hAnsi="Asap"/>
          <w:b/>
          <w:sz w:val="20"/>
          <w:szCs w:val="20"/>
        </w:rPr>
        <w:t xml:space="preserve"> </w:t>
      </w:r>
    </w:p>
    <w:p w14:paraId="60BEACCE" w14:textId="70DB26F7" w:rsidR="00A57B2A" w:rsidRPr="00E56E55" w:rsidRDefault="00A57B2A" w:rsidP="00A57B2A">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2972"/>
        <w:gridCol w:w="5477"/>
      </w:tblGrid>
      <w:tr w:rsidR="002B7A67" w:rsidRPr="00E56E55" w14:paraId="3908508F" w14:textId="77777777" w:rsidTr="00A64CB6">
        <w:tc>
          <w:tcPr>
            <w:tcW w:w="9026" w:type="dxa"/>
            <w:gridSpan w:val="3"/>
          </w:tcPr>
          <w:p w14:paraId="11710CE4" w14:textId="6998ABFC" w:rsidR="002B7A67" w:rsidRPr="00E56E55" w:rsidRDefault="002B7A67" w:rsidP="002B7A67">
            <w:pPr>
              <w:rPr>
                <w:sz w:val="20"/>
                <w:szCs w:val="20"/>
              </w:rPr>
            </w:pPr>
            <w:r w:rsidRPr="00E56E55">
              <w:rPr>
                <w:sz w:val="20"/>
                <w:szCs w:val="20"/>
              </w:rPr>
              <w:t>Not dangerous goods for ADR, RID, IMDG, and IATA</w:t>
            </w:r>
          </w:p>
        </w:tc>
      </w:tr>
      <w:tr w:rsidR="00A57B2A" w:rsidRPr="00E56E55" w14:paraId="5150462C" w14:textId="77777777" w:rsidTr="002B7A67">
        <w:tc>
          <w:tcPr>
            <w:tcW w:w="577" w:type="dxa"/>
          </w:tcPr>
          <w:p w14:paraId="0DF8489C" w14:textId="56AD9F44" w:rsidR="00A57B2A" w:rsidRPr="00E56E55" w:rsidRDefault="002B7A67" w:rsidP="00912BC2">
            <w:pPr>
              <w:rPr>
                <w:b/>
                <w:bCs/>
                <w:sz w:val="20"/>
                <w:szCs w:val="20"/>
              </w:rPr>
            </w:pPr>
            <w:r w:rsidRPr="00E56E55">
              <w:rPr>
                <w:b/>
                <w:bCs/>
                <w:sz w:val="20"/>
                <w:szCs w:val="20"/>
              </w:rPr>
              <w:t>14.1</w:t>
            </w:r>
          </w:p>
        </w:tc>
        <w:tc>
          <w:tcPr>
            <w:tcW w:w="2972" w:type="dxa"/>
          </w:tcPr>
          <w:p w14:paraId="0906401F" w14:textId="00D57929" w:rsidR="00A57B2A" w:rsidRPr="00E56E55" w:rsidRDefault="002B7A67" w:rsidP="00912BC2">
            <w:pPr>
              <w:rPr>
                <w:b/>
                <w:bCs/>
                <w:sz w:val="20"/>
                <w:szCs w:val="20"/>
              </w:rPr>
            </w:pPr>
            <w:r w:rsidRPr="00E56E55">
              <w:rPr>
                <w:b/>
                <w:bCs/>
                <w:sz w:val="20"/>
                <w:szCs w:val="20"/>
              </w:rPr>
              <w:t>EEC Regulations</w:t>
            </w:r>
          </w:p>
        </w:tc>
        <w:tc>
          <w:tcPr>
            <w:tcW w:w="5477" w:type="dxa"/>
          </w:tcPr>
          <w:p w14:paraId="6FD6412A" w14:textId="277F481B" w:rsidR="002B7A67" w:rsidRPr="00E56E55" w:rsidRDefault="002B7A67" w:rsidP="002B7A67">
            <w:pPr>
              <w:rPr>
                <w:sz w:val="20"/>
                <w:szCs w:val="20"/>
              </w:rPr>
            </w:pPr>
            <w:r w:rsidRPr="00E56E55">
              <w:rPr>
                <w:b/>
                <w:sz w:val="20"/>
                <w:szCs w:val="20"/>
              </w:rPr>
              <w:t xml:space="preserve">UNNO </w:t>
            </w:r>
            <w:r w:rsidRPr="00E56E55">
              <w:rPr>
                <w:sz w:val="20"/>
                <w:szCs w:val="20"/>
              </w:rPr>
              <w:t xml:space="preserve">None.  </w:t>
            </w:r>
            <w:r w:rsidRPr="00E56E55">
              <w:rPr>
                <w:b/>
                <w:sz w:val="20"/>
                <w:szCs w:val="20"/>
              </w:rPr>
              <w:t>Class</w:t>
            </w:r>
            <w:r w:rsidRPr="00E56E55">
              <w:rPr>
                <w:sz w:val="20"/>
                <w:szCs w:val="20"/>
              </w:rPr>
              <w:t xml:space="preserve"> None. </w:t>
            </w:r>
            <w:r w:rsidRPr="00E56E55">
              <w:rPr>
                <w:b/>
                <w:sz w:val="20"/>
                <w:szCs w:val="20"/>
              </w:rPr>
              <w:t>Packing Group</w:t>
            </w:r>
            <w:r w:rsidRPr="00E56E55">
              <w:rPr>
                <w:sz w:val="20"/>
                <w:szCs w:val="20"/>
              </w:rPr>
              <w:t xml:space="preserve"> None.</w:t>
            </w:r>
          </w:p>
          <w:p w14:paraId="61E20A60" w14:textId="58FE0302" w:rsidR="002B7A67" w:rsidRPr="00E56E55" w:rsidRDefault="002B7A67" w:rsidP="002B7A67">
            <w:pPr>
              <w:tabs>
                <w:tab w:val="left" w:pos="720"/>
              </w:tabs>
              <w:rPr>
                <w:sz w:val="20"/>
                <w:szCs w:val="20"/>
              </w:rPr>
            </w:pPr>
            <w:r w:rsidRPr="00E56E55">
              <w:rPr>
                <w:b/>
                <w:bCs/>
                <w:sz w:val="20"/>
                <w:szCs w:val="20"/>
              </w:rPr>
              <w:t>Road &amp; Rail Transport (ADR &amp; RID)</w:t>
            </w:r>
            <w:r w:rsidRPr="00E56E55">
              <w:rPr>
                <w:sz w:val="20"/>
                <w:szCs w:val="20"/>
              </w:rPr>
              <w:t xml:space="preserve"> None.</w:t>
            </w:r>
            <w:r w:rsidRPr="00E56E55">
              <w:rPr>
                <w:sz w:val="20"/>
                <w:szCs w:val="20"/>
              </w:rPr>
              <w:tab/>
            </w:r>
          </w:p>
          <w:p w14:paraId="07AB4A5B" w14:textId="7BCBE28D" w:rsidR="00A57B2A" w:rsidRPr="00E56E55" w:rsidRDefault="002B7A67" w:rsidP="002B7A67">
            <w:pPr>
              <w:tabs>
                <w:tab w:val="left" w:pos="720"/>
              </w:tabs>
              <w:rPr>
                <w:sz w:val="20"/>
                <w:szCs w:val="20"/>
              </w:rPr>
            </w:pPr>
            <w:r w:rsidRPr="00E56E55">
              <w:rPr>
                <w:b/>
                <w:sz w:val="20"/>
                <w:szCs w:val="20"/>
              </w:rPr>
              <w:t xml:space="preserve">IMDG </w:t>
            </w:r>
            <w:r w:rsidRPr="00E56E55">
              <w:rPr>
                <w:sz w:val="20"/>
                <w:szCs w:val="20"/>
              </w:rPr>
              <w:t xml:space="preserve">Not Applicable.  </w:t>
            </w:r>
            <w:r w:rsidRPr="00E56E55">
              <w:rPr>
                <w:b/>
                <w:sz w:val="20"/>
                <w:szCs w:val="20"/>
              </w:rPr>
              <w:t>ICOA</w:t>
            </w:r>
            <w:r w:rsidRPr="00E56E55">
              <w:rPr>
                <w:sz w:val="20"/>
                <w:szCs w:val="20"/>
              </w:rPr>
              <w:t xml:space="preserve"> None.</w:t>
            </w:r>
          </w:p>
        </w:tc>
      </w:tr>
      <w:tr w:rsidR="00A57B2A" w:rsidRPr="00E56E55" w14:paraId="2D8AB2B4" w14:textId="77777777" w:rsidTr="00E56E55">
        <w:tc>
          <w:tcPr>
            <w:tcW w:w="577" w:type="dxa"/>
          </w:tcPr>
          <w:p w14:paraId="0FA0D9E8" w14:textId="401EDD7C" w:rsidR="00A57B2A" w:rsidRPr="00E56E55" w:rsidRDefault="002B7A67" w:rsidP="00912BC2">
            <w:pPr>
              <w:rPr>
                <w:b/>
                <w:bCs/>
                <w:sz w:val="20"/>
                <w:szCs w:val="20"/>
              </w:rPr>
            </w:pPr>
            <w:r w:rsidRPr="00E56E55">
              <w:rPr>
                <w:b/>
                <w:bCs/>
                <w:sz w:val="20"/>
                <w:szCs w:val="20"/>
              </w:rPr>
              <w:t>14.2</w:t>
            </w:r>
          </w:p>
        </w:tc>
        <w:tc>
          <w:tcPr>
            <w:tcW w:w="2972" w:type="dxa"/>
          </w:tcPr>
          <w:p w14:paraId="28D45D8B" w14:textId="36E4CF68" w:rsidR="00A57B2A" w:rsidRPr="00E56E55" w:rsidRDefault="002B7A67" w:rsidP="00E56E55">
            <w:pPr>
              <w:pStyle w:val="NoSpacing"/>
              <w:rPr>
                <w:rFonts w:ascii="Asap" w:hAnsi="Asap"/>
                <w:b/>
                <w:bCs/>
                <w:sz w:val="20"/>
                <w:szCs w:val="20"/>
              </w:rPr>
            </w:pPr>
            <w:r w:rsidRPr="00E56E55">
              <w:rPr>
                <w:rFonts w:ascii="Asap" w:hAnsi="Asap"/>
                <w:b/>
                <w:bCs/>
                <w:sz w:val="20"/>
                <w:szCs w:val="20"/>
              </w:rPr>
              <w:t>Export commodity code</w:t>
            </w:r>
          </w:p>
        </w:tc>
        <w:tc>
          <w:tcPr>
            <w:tcW w:w="5477" w:type="dxa"/>
          </w:tcPr>
          <w:p w14:paraId="0C843347" w14:textId="77777777" w:rsidR="00A57B2A" w:rsidRPr="00E56E55" w:rsidRDefault="002B7A67" w:rsidP="00912BC2">
            <w:pPr>
              <w:pStyle w:val="NoSpacing"/>
              <w:pBdr>
                <w:top w:val="single" w:sz="4" w:space="1" w:color="auto"/>
              </w:pBdr>
              <w:rPr>
                <w:rFonts w:ascii="Asap" w:hAnsi="Asap"/>
                <w:sz w:val="20"/>
                <w:szCs w:val="20"/>
              </w:rPr>
            </w:pPr>
            <w:r w:rsidRPr="00E56E55">
              <w:rPr>
                <w:rFonts w:ascii="Asap" w:hAnsi="Asap"/>
                <w:sz w:val="20"/>
                <w:szCs w:val="20"/>
              </w:rPr>
              <w:t>39074000</w:t>
            </w:r>
          </w:p>
          <w:p w14:paraId="7615632D" w14:textId="4AF2C238" w:rsidR="002B7A67" w:rsidRPr="00E56E55" w:rsidRDefault="002B7A67" w:rsidP="00912BC2">
            <w:pPr>
              <w:pStyle w:val="NoSpacing"/>
              <w:pBdr>
                <w:top w:val="single" w:sz="4" w:space="1" w:color="auto"/>
              </w:pBdr>
              <w:rPr>
                <w:rFonts w:ascii="Asap" w:hAnsi="Asap"/>
                <w:sz w:val="20"/>
                <w:szCs w:val="20"/>
              </w:rPr>
            </w:pPr>
            <w:r w:rsidRPr="00E56E55">
              <w:rPr>
                <w:rFonts w:ascii="Asap" w:hAnsi="Asap"/>
                <w:b/>
                <w:bCs/>
                <w:sz w:val="20"/>
                <w:szCs w:val="20"/>
              </w:rPr>
              <w:t xml:space="preserve">Classification - </w:t>
            </w:r>
            <w:r w:rsidRPr="00E56E55">
              <w:rPr>
                <w:rFonts w:ascii="Asap" w:hAnsi="Asap"/>
                <w:sz w:val="20"/>
                <w:szCs w:val="20"/>
              </w:rPr>
              <w:t>Polycarbonates</w:t>
            </w:r>
          </w:p>
        </w:tc>
      </w:tr>
      <w:tr w:rsidR="00A57B2A" w:rsidRPr="00E56E55" w14:paraId="552A99FE" w14:textId="77777777" w:rsidTr="00E56E55">
        <w:tc>
          <w:tcPr>
            <w:tcW w:w="577" w:type="dxa"/>
          </w:tcPr>
          <w:p w14:paraId="3CF678E2" w14:textId="165FFEB3" w:rsidR="002B7A67" w:rsidRPr="00E56E55" w:rsidRDefault="002B7A67" w:rsidP="00912BC2">
            <w:pPr>
              <w:rPr>
                <w:b/>
                <w:bCs/>
                <w:sz w:val="20"/>
                <w:szCs w:val="20"/>
              </w:rPr>
            </w:pPr>
            <w:r w:rsidRPr="00E56E55">
              <w:rPr>
                <w:b/>
                <w:bCs/>
                <w:sz w:val="20"/>
                <w:szCs w:val="20"/>
              </w:rPr>
              <w:t>14.3</w:t>
            </w:r>
          </w:p>
        </w:tc>
        <w:tc>
          <w:tcPr>
            <w:tcW w:w="2972" w:type="dxa"/>
          </w:tcPr>
          <w:p w14:paraId="5688599B" w14:textId="2E894E76" w:rsidR="00A57B2A" w:rsidRPr="00E56E55" w:rsidRDefault="002B7A67" w:rsidP="00912BC2">
            <w:pPr>
              <w:rPr>
                <w:sz w:val="20"/>
                <w:szCs w:val="20"/>
              </w:rPr>
            </w:pPr>
            <w:r w:rsidRPr="00E56E55">
              <w:rPr>
                <w:b/>
                <w:sz w:val="20"/>
                <w:szCs w:val="20"/>
              </w:rPr>
              <w:t>Weight and dimensions</w:t>
            </w:r>
          </w:p>
        </w:tc>
        <w:tc>
          <w:tcPr>
            <w:tcW w:w="5477" w:type="dxa"/>
          </w:tcPr>
          <w:p w14:paraId="47E2718A" w14:textId="4738A995" w:rsidR="00A57B2A" w:rsidRPr="00E56E55" w:rsidRDefault="002B7A67" w:rsidP="00912BC2">
            <w:pPr>
              <w:pStyle w:val="NoSpacing"/>
              <w:pBdr>
                <w:top w:val="single" w:sz="4" w:space="1" w:color="auto"/>
              </w:pBdr>
              <w:rPr>
                <w:rFonts w:ascii="Asap" w:hAnsi="Asap"/>
                <w:sz w:val="20"/>
                <w:szCs w:val="20"/>
              </w:rPr>
            </w:pPr>
            <w:r w:rsidRPr="00E56E55">
              <w:rPr>
                <w:rFonts w:ascii="Asap" w:hAnsi="Asap"/>
                <w:sz w:val="20"/>
                <w:szCs w:val="20"/>
              </w:rPr>
              <w:t xml:space="preserve">5Kg per 5 litre </w:t>
            </w:r>
            <w:proofErr w:type="gramStart"/>
            <w:r w:rsidRPr="00E56E55">
              <w:rPr>
                <w:rFonts w:ascii="Asap" w:hAnsi="Asap"/>
                <w:sz w:val="20"/>
                <w:szCs w:val="20"/>
              </w:rPr>
              <w:t>container</w:t>
            </w:r>
            <w:proofErr w:type="gramEnd"/>
            <w:r w:rsidRPr="00E56E55">
              <w:rPr>
                <w:rFonts w:ascii="Asap" w:hAnsi="Asap"/>
                <w:sz w:val="20"/>
                <w:szCs w:val="20"/>
              </w:rPr>
              <w:t>. 19x14x29cm</w:t>
            </w:r>
          </w:p>
        </w:tc>
      </w:tr>
      <w:tr w:rsidR="002B7A67" w:rsidRPr="00E56E55" w14:paraId="289F1ED0" w14:textId="77777777" w:rsidTr="002B7A67">
        <w:tc>
          <w:tcPr>
            <w:tcW w:w="577" w:type="dxa"/>
          </w:tcPr>
          <w:p w14:paraId="77DFCBCE" w14:textId="7D6905C9" w:rsidR="002B7A67" w:rsidRPr="00E56E55" w:rsidRDefault="002B7A67" w:rsidP="00912BC2">
            <w:pPr>
              <w:rPr>
                <w:b/>
                <w:bCs/>
                <w:sz w:val="20"/>
                <w:szCs w:val="20"/>
              </w:rPr>
            </w:pPr>
            <w:r w:rsidRPr="00E56E55">
              <w:rPr>
                <w:b/>
                <w:bCs/>
                <w:sz w:val="20"/>
                <w:szCs w:val="20"/>
              </w:rPr>
              <w:t>14.4</w:t>
            </w:r>
          </w:p>
        </w:tc>
        <w:tc>
          <w:tcPr>
            <w:tcW w:w="8449" w:type="dxa"/>
            <w:gridSpan w:val="2"/>
          </w:tcPr>
          <w:p w14:paraId="48380831" w14:textId="2578B302" w:rsidR="002B7A67" w:rsidRPr="00E56E55" w:rsidRDefault="002B7A67" w:rsidP="00E56E55">
            <w:pPr>
              <w:pStyle w:val="NoSpacing"/>
              <w:rPr>
                <w:rFonts w:ascii="Asap" w:hAnsi="Asap"/>
                <w:sz w:val="20"/>
                <w:szCs w:val="20"/>
              </w:rPr>
            </w:pPr>
            <w:r w:rsidRPr="00E56E55">
              <w:rPr>
                <w:rFonts w:ascii="Asap" w:hAnsi="Asap"/>
                <w:b/>
                <w:sz w:val="20"/>
                <w:szCs w:val="20"/>
              </w:rPr>
              <w:t>Manufactured in the United Kingdom</w:t>
            </w:r>
          </w:p>
        </w:tc>
      </w:tr>
    </w:tbl>
    <w:p w14:paraId="5E627D76" w14:textId="77777777" w:rsidR="00A57B2A" w:rsidRPr="00E56E55" w:rsidRDefault="00A57B2A" w:rsidP="00A57B2A">
      <w:pPr>
        <w:spacing w:after="0"/>
        <w:rPr>
          <w:sz w:val="20"/>
          <w:szCs w:val="20"/>
        </w:rPr>
      </w:pPr>
    </w:p>
    <w:p w14:paraId="38BDFC07" w14:textId="77777777" w:rsidR="002B7A67" w:rsidRPr="00E56E55" w:rsidRDefault="002B7A67" w:rsidP="00A57B2A">
      <w:pPr>
        <w:spacing w:after="0"/>
        <w:rPr>
          <w:sz w:val="20"/>
          <w:szCs w:val="20"/>
        </w:rPr>
      </w:pPr>
    </w:p>
    <w:p w14:paraId="607C4E7C" w14:textId="77777777" w:rsidR="00673490" w:rsidRPr="00E56E55" w:rsidRDefault="00673490" w:rsidP="00673490">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SECTION 15:  REGULATORY INFORMATION</w:t>
      </w:r>
    </w:p>
    <w:p w14:paraId="3FD3DC92" w14:textId="77777777" w:rsidR="00673490" w:rsidRPr="00E56E55" w:rsidRDefault="00673490" w:rsidP="00673490">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3024"/>
        <w:gridCol w:w="5425"/>
      </w:tblGrid>
      <w:tr w:rsidR="00673490" w:rsidRPr="00E56E55" w14:paraId="112F53B3" w14:textId="77777777" w:rsidTr="00E56E55">
        <w:tc>
          <w:tcPr>
            <w:tcW w:w="577" w:type="dxa"/>
          </w:tcPr>
          <w:p w14:paraId="7C5CFFBB" w14:textId="77777777" w:rsidR="00673490" w:rsidRPr="00E56E55" w:rsidRDefault="00673490" w:rsidP="00912BC2">
            <w:pPr>
              <w:rPr>
                <w:b/>
                <w:bCs/>
                <w:sz w:val="20"/>
                <w:szCs w:val="20"/>
              </w:rPr>
            </w:pPr>
            <w:r w:rsidRPr="00E56E55">
              <w:rPr>
                <w:b/>
                <w:bCs/>
                <w:sz w:val="20"/>
                <w:szCs w:val="20"/>
              </w:rPr>
              <w:t>15.1</w:t>
            </w:r>
          </w:p>
        </w:tc>
        <w:tc>
          <w:tcPr>
            <w:tcW w:w="3024" w:type="dxa"/>
          </w:tcPr>
          <w:p w14:paraId="16CBAEFC" w14:textId="77777777" w:rsidR="00673490" w:rsidRPr="00E56E55" w:rsidRDefault="00673490" w:rsidP="00912BC2">
            <w:pPr>
              <w:rPr>
                <w:sz w:val="20"/>
                <w:szCs w:val="20"/>
              </w:rPr>
            </w:pPr>
            <w:r w:rsidRPr="00E56E55">
              <w:rPr>
                <w:b/>
                <w:sz w:val="20"/>
                <w:szCs w:val="20"/>
              </w:rPr>
              <w:t>Classification</w:t>
            </w:r>
          </w:p>
        </w:tc>
        <w:tc>
          <w:tcPr>
            <w:tcW w:w="5425" w:type="dxa"/>
            <w:tcBorders>
              <w:bottom w:val="single" w:sz="4" w:space="0" w:color="auto"/>
            </w:tcBorders>
          </w:tcPr>
          <w:p w14:paraId="1F04AB60" w14:textId="77777777" w:rsidR="00673490" w:rsidRPr="00E56E55" w:rsidRDefault="00673490" w:rsidP="00E56E55">
            <w:pPr>
              <w:pStyle w:val="NoSpacing"/>
              <w:rPr>
                <w:rFonts w:ascii="Asap" w:hAnsi="Asap"/>
                <w:sz w:val="20"/>
                <w:szCs w:val="20"/>
              </w:rPr>
            </w:pPr>
            <w:r w:rsidRPr="00E56E55">
              <w:rPr>
                <w:rFonts w:ascii="Asap" w:hAnsi="Asap"/>
                <w:sz w:val="20"/>
                <w:szCs w:val="20"/>
              </w:rPr>
              <w:t>Not classified as hazardous to users.</w:t>
            </w:r>
          </w:p>
        </w:tc>
      </w:tr>
      <w:tr w:rsidR="00673490" w:rsidRPr="00E56E55" w14:paraId="6B0ACB9E" w14:textId="77777777" w:rsidTr="00E56E55">
        <w:tc>
          <w:tcPr>
            <w:tcW w:w="577" w:type="dxa"/>
          </w:tcPr>
          <w:p w14:paraId="5FAABAFD" w14:textId="77777777" w:rsidR="00673490" w:rsidRPr="00E56E55" w:rsidRDefault="00673490" w:rsidP="00912BC2">
            <w:pPr>
              <w:rPr>
                <w:b/>
                <w:bCs/>
                <w:sz w:val="20"/>
                <w:szCs w:val="20"/>
              </w:rPr>
            </w:pPr>
            <w:r w:rsidRPr="00E56E55">
              <w:rPr>
                <w:b/>
                <w:bCs/>
                <w:sz w:val="20"/>
                <w:szCs w:val="20"/>
              </w:rPr>
              <w:t>15.2</w:t>
            </w:r>
          </w:p>
        </w:tc>
        <w:tc>
          <w:tcPr>
            <w:tcW w:w="3024" w:type="dxa"/>
          </w:tcPr>
          <w:p w14:paraId="33D46842" w14:textId="77777777" w:rsidR="00673490" w:rsidRPr="00E56E55" w:rsidRDefault="00673490" w:rsidP="00E56E55">
            <w:pPr>
              <w:pStyle w:val="NoSpacing"/>
              <w:rPr>
                <w:rFonts w:ascii="Asap" w:hAnsi="Asap"/>
                <w:b/>
                <w:bCs/>
                <w:sz w:val="20"/>
                <w:szCs w:val="20"/>
              </w:rPr>
            </w:pPr>
            <w:r w:rsidRPr="00E56E55">
              <w:rPr>
                <w:rFonts w:ascii="Asap" w:hAnsi="Asap"/>
                <w:b/>
                <w:bCs/>
                <w:sz w:val="20"/>
                <w:szCs w:val="20"/>
              </w:rPr>
              <w:t>CAS No.</w:t>
            </w:r>
          </w:p>
        </w:tc>
        <w:tc>
          <w:tcPr>
            <w:tcW w:w="5425" w:type="dxa"/>
            <w:tcBorders>
              <w:top w:val="single" w:sz="4" w:space="0" w:color="auto"/>
            </w:tcBorders>
          </w:tcPr>
          <w:p w14:paraId="76B0787A" w14:textId="77777777" w:rsidR="00673490" w:rsidRPr="00E56E55" w:rsidRDefault="00673490" w:rsidP="00912BC2">
            <w:pPr>
              <w:rPr>
                <w:sz w:val="20"/>
                <w:szCs w:val="20"/>
              </w:rPr>
            </w:pPr>
            <w:r w:rsidRPr="00E56E55">
              <w:rPr>
                <w:sz w:val="20"/>
                <w:szCs w:val="20"/>
              </w:rPr>
              <w:t>57556</w:t>
            </w:r>
          </w:p>
        </w:tc>
      </w:tr>
      <w:tr w:rsidR="00673490" w:rsidRPr="00E56E55" w14:paraId="7D473809" w14:textId="77777777" w:rsidTr="00912BC2">
        <w:tc>
          <w:tcPr>
            <w:tcW w:w="577" w:type="dxa"/>
          </w:tcPr>
          <w:p w14:paraId="18324A70" w14:textId="77777777" w:rsidR="00673490" w:rsidRPr="00E56E55" w:rsidRDefault="00673490" w:rsidP="00912BC2">
            <w:pPr>
              <w:rPr>
                <w:b/>
                <w:bCs/>
                <w:sz w:val="20"/>
                <w:szCs w:val="20"/>
              </w:rPr>
            </w:pPr>
            <w:r w:rsidRPr="00E56E55">
              <w:rPr>
                <w:b/>
                <w:bCs/>
                <w:sz w:val="20"/>
                <w:szCs w:val="20"/>
              </w:rPr>
              <w:t>15.3</w:t>
            </w:r>
          </w:p>
        </w:tc>
        <w:tc>
          <w:tcPr>
            <w:tcW w:w="3024" w:type="dxa"/>
          </w:tcPr>
          <w:p w14:paraId="5C5E5CAA" w14:textId="77777777" w:rsidR="00673490" w:rsidRPr="00E56E55" w:rsidRDefault="00673490" w:rsidP="00912BC2">
            <w:pPr>
              <w:rPr>
                <w:sz w:val="20"/>
                <w:szCs w:val="20"/>
              </w:rPr>
            </w:pPr>
            <w:r w:rsidRPr="00E56E55">
              <w:rPr>
                <w:b/>
                <w:sz w:val="20"/>
                <w:szCs w:val="20"/>
              </w:rPr>
              <w:t>Risk or Safety phrases</w:t>
            </w:r>
          </w:p>
        </w:tc>
        <w:tc>
          <w:tcPr>
            <w:tcW w:w="5425" w:type="dxa"/>
          </w:tcPr>
          <w:p w14:paraId="2B15C585" w14:textId="77777777" w:rsidR="00673490" w:rsidRPr="00E56E55" w:rsidRDefault="00673490" w:rsidP="00912BC2">
            <w:pPr>
              <w:pStyle w:val="NoSpacing"/>
              <w:pBdr>
                <w:top w:val="single" w:sz="4" w:space="1" w:color="auto"/>
              </w:pBdr>
              <w:rPr>
                <w:rFonts w:ascii="Asap" w:hAnsi="Asap"/>
                <w:sz w:val="20"/>
                <w:szCs w:val="20"/>
              </w:rPr>
            </w:pPr>
            <w:r w:rsidRPr="00E56E55">
              <w:rPr>
                <w:rFonts w:ascii="Asap" w:hAnsi="Asap"/>
                <w:sz w:val="20"/>
                <w:szCs w:val="20"/>
              </w:rPr>
              <w:t>None</w:t>
            </w:r>
          </w:p>
        </w:tc>
      </w:tr>
      <w:tr w:rsidR="00673490" w:rsidRPr="00E56E55" w14:paraId="23BF5743" w14:textId="77777777" w:rsidTr="00912BC2">
        <w:tc>
          <w:tcPr>
            <w:tcW w:w="577" w:type="dxa"/>
          </w:tcPr>
          <w:p w14:paraId="303D9E5E" w14:textId="77777777" w:rsidR="00673490" w:rsidRPr="00E56E55" w:rsidRDefault="00673490" w:rsidP="00912BC2">
            <w:pPr>
              <w:rPr>
                <w:b/>
                <w:bCs/>
                <w:sz w:val="20"/>
                <w:szCs w:val="20"/>
              </w:rPr>
            </w:pPr>
            <w:r w:rsidRPr="00E56E55">
              <w:rPr>
                <w:b/>
                <w:bCs/>
                <w:sz w:val="20"/>
                <w:szCs w:val="20"/>
              </w:rPr>
              <w:t>15.4</w:t>
            </w:r>
          </w:p>
        </w:tc>
        <w:tc>
          <w:tcPr>
            <w:tcW w:w="3024" w:type="dxa"/>
          </w:tcPr>
          <w:p w14:paraId="46F1419B" w14:textId="77777777" w:rsidR="00673490" w:rsidRPr="00E56E55" w:rsidRDefault="00673490" w:rsidP="00912BC2">
            <w:pPr>
              <w:rPr>
                <w:b/>
                <w:sz w:val="20"/>
                <w:szCs w:val="20"/>
              </w:rPr>
            </w:pPr>
            <w:r w:rsidRPr="00E56E55">
              <w:rPr>
                <w:b/>
                <w:sz w:val="20"/>
                <w:szCs w:val="20"/>
              </w:rPr>
              <w:t>Labelling</w:t>
            </w:r>
          </w:p>
        </w:tc>
        <w:tc>
          <w:tcPr>
            <w:tcW w:w="5425" w:type="dxa"/>
          </w:tcPr>
          <w:p w14:paraId="306EBFC3" w14:textId="77777777" w:rsidR="00673490" w:rsidRPr="00E56E55" w:rsidRDefault="00673490" w:rsidP="00912BC2">
            <w:pPr>
              <w:pStyle w:val="NoSpacing"/>
              <w:pBdr>
                <w:top w:val="single" w:sz="4" w:space="1" w:color="auto"/>
              </w:pBdr>
              <w:rPr>
                <w:rFonts w:ascii="Asap" w:hAnsi="Asap"/>
                <w:sz w:val="20"/>
                <w:szCs w:val="20"/>
              </w:rPr>
            </w:pPr>
            <w:r w:rsidRPr="00E56E55">
              <w:rPr>
                <w:rFonts w:ascii="Asap" w:hAnsi="Asap"/>
                <w:sz w:val="20"/>
                <w:szCs w:val="20"/>
              </w:rPr>
              <w:t>None</w:t>
            </w:r>
          </w:p>
        </w:tc>
      </w:tr>
    </w:tbl>
    <w:p w14:paraId="5407A1C8" w14:textId="77777777" w:rsidR="00673490" w:rsidRPr="00E56E55" w:rsidRDefault="00673490" w:rsidP="00673490">
      <w:pPr>
        <w:spacing w:after="0"/>
        <w:rPr>
          <w:sz w:val="20"/>
          <w:szCs w:val="20"/>
        </w:rPr>
      </w:pPr>
    </w:p>
    <w:p w14:paraId="43D64E26" w14:textId="6846563D" w:rsidR="00673490" w:rsidRPr="00E56E55" w:rsidRDefault="00673490" w:rsidP="00673490">
      <w:pPr>
        <w:pStyle w:val="NoSpacing"/>
        <w:pBdr>
          <w:top w:val="single" w:sz="4" w:space="1" w:color="auto"/>
          <w:bottom w:val="single" w:sz="4" w:space="1" w:color="auto"/>
        </w:pBdr>
        <w:rPr>
          <w:rFonts w:ascii="Asap" w:hAnsi="Asap"/>
          <w:b/>
          <w:sz w:val="20"/>
          <w:szCs w:val="20"/>
        </w:rPr>
      </w:pPr>
      <w:r w:rsidRPr="00E56E55">
        <w:rPr>
          <w:rFonts w:ascii="Asap" w:hAnsi="Asap"/>
          <w:b/>
          <w:sz w:val="20"/>
          <w:szCs w:val="20"/>
        </w:rPr>
        <w:t xml:space="preserve">SECTION 14: OTHER INFORMATION </w:t>
      </w:r>
    </w:p>
    <w:p w14:paraId="0F80CF24" w14:textId="77777777" w:rsidR="00673490" w:rsidRPr="00E56E55" w:rsidRDefault="00673490" w:rsidP="00673490">
      <w:pPr>
        <w:spacing w:after="0"/>
        <w:rPr>
          <w:sz w:val="20"/>
          <w:szCs w:val="20"/>
        </w:rPr>
      </w:pPr>
    </w:p>
    <w:p w14:paraId="657F91DC" w14:textId="77777777" w:rsidR="00673490" w:rsidRPr="00E56E55" w:rsidRDefault="00673490" w:rsidP="00673490">
      <w:pPr>
        <w:rPr>
          <w:sz w:val="20"/>
          <w:szCs w:val="20"/>
        </w:rPr>
      </w:pPr>
      <w:r w:rsidRPr="00E56E55">
        <w:rPr>
          <w:sz w:val="20"/>
          <w:szCs w:val="20"/>
        </w:rPr>
        <w:t xml:space="preserve">Key literature references and sources for data taken from supplier information and data from the "Database of registered substances" of the European Chemicals Agency (ECHA) were used to create this safety data sheet.  Other information - The information provided in this Safety Data Sheet is correct to our knowledge at the date of its revision.  The information given only describes the products </w:t>
      </w:r>
      <w:proofErr w:type="gramStart"/>
      <w:r w:rsidRPr="00E56E55">
        <w:rPr>
          <w:sz w:val="20"/>
          <w:szCs w:val="20"/>
        </w:rPr>
        <w:t>with regard to</w:t>
      </w:r>
      <w:proofErr w:type="gramEnd"/>
      <w:r w:rsidRPr="00E56E55">
        <w:rPr>
          <w:sz w:val="20"/>
          <w:szCs w:val="20"/>
        </w:rPr>
        <w:t xml:space="preserve"> safety arrangements and is not to be considered as a warranty or quality specification and does not constitute a legal relationship. </w:t>
      </w:r>
    </w:p>
    <w:p w14:paraId="6A0B874D" w14:textId="77777777" w:rsidR="00673490" w:rsidRPr="00E56E55" w:rsidRDefault="00673490" w:rsidP="00673490">
      <w:pPr>
        <w:rPr>
          <w:b/>
          <w:sz w:val="20"/>
          <w:szCs w:val="20"/>
        </w:rPr>
      </w:pPr>
      <w:r w:rsidRPr="00E56E55">
        <w:rPr>
          <w:sz w:val="20"/>
          <w:szCs w:val="20"/>
        </w:rPr>
        <w:t>The information contained in this Safety Data Sheet relates only to the specific material designated and may not be valid for such material used in combination with any other material or in any process, unless specified in the text.</w:t>
      </w:r>
    </w:p>
    <w:p w14:paraId="7D7F984E" w14:textId="77777777" w:rsidR="00673490" w:rsidRPr="00E56E55" w:rsidRDefault="00673490" w:rsidP="00541DD9">
      <w:pPr>
        <w:spacing w:after="0"/>
        <w:rPr>
          <w:sz w:val="20"/>
          <w:szCs w:val="20"/>
        </w:rPr>
      </w:pPr>
    </w:p>
    <w:sectPr w:rsidR="00673490" w:rsidRPr="00E56E55">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78EC" w14:textId="77777777" w:rsidR="00343357" w:rsidRDefault="00343357" w:rsidP="00343357">
      <w:pPr>
        <w:spacing w:after="0" w:line="240" w:lineRule="auto"/>
      </w:pPr>
      <w:r>
        <w:separator/>
      </w:r>
    </w:p>
  </w:endnote>
  <w:endnote w:type="continuationSeparator" w:id="0">
    <w:p w14:paraId="3317E896" w14:textId="77777777" w:rsidR="00343357" w:rsidRDefault="00343357" w:rsidP="0034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sap">
    <w:altName w:val="Calibri"/>
    <w:charset w:val="00"/>
    <w:family w:val="auto"/>
    <w:pitch w:val="variable"/>
    <w:sig w:usb0="A00000FF" w:usb1="5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E3131" w14:textId="77777777" w:rsidR="00343357" w:rsidRDefault="00343357" w:rsidP="00343357">
      <w:pPr>
        <w:spacing w:after="0" w:line="240" w:lineRule="auto"/>
      </w:pPr>
      <w:r>
        <w:separator/>
      </w:r>
    </w:p>
  </w:footnote>
  <w:footnote w:type="continuationSeparator" w:id="0">
    <w:p w14:paraId="3413D342" w14:textId="77777777" w:rsidR="00343357" w:rsidRDefault="00343357" w:rsidP="00343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04A4" w14:textId="5067ECE9" w:rsidR="00343357" w:rsidRDefault="00A52E7B">
    <w:pPr>
      <w:pStyle w:val="Header"/>
    </w:pPr>
    <w:r>
      <w:rPr>
        <w:noProof/>
      </w:rPr>
      <w:drawing>
        <wp:anchor distT="0" distB="0" distL="114300" distR="114300" simplePos="0" relativeHeight="251656704" behindDoc="1" locked="0" layoutInCell="0" allowOverlap="1" wp14:anchorId="6FD9267D" wp14:editId="1F385D81">
          <wp:simplePos x="0" y="0"/>
          <wp:positionH relativeFrom="margin">
            <wp:align>center</wp:align>
          </wp:positionH>
          <wp:positionV relativeFrom="margin">
            <wp:align>center</wp:align>
          </wp:positionV>
          <wp:extent cx="5731510" cy="8107045"/>
          <wp:effectExtent l="0" t="0" r="2540" b="0"/>
          <wp:wrapNone/>
          <wp:docPr id="1657106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C981" w14:textId="7E56D41D" w:rsidR="00E43653" w:rsidRDefault="00A52E7B" w:rsidP="002E3B13">
    <w:pPr>
      <w:pStyle w:val="Header"/>
      <w:ind w:firstLine="1440"/>
      <w:rPr>
        <w:b/>
        <w:bCs/>
        <w:color w:val="094496"/>
        <w:sz w:val="36"/>
        <w:szCs w:val="36"/>
      </w:rPr>
    </w:pPr>
    <w:r>
      <w:rPr>
        <w:b/>
        <w:bCs/>
        <w:noProof/>
        <w:color w:val="094496"/>
        <w:sz w:val="36"/>
        <w:szCs w:val="36"/>
      </w:rPr>
      <w:drawing>
        <wp:anchor distT="0" distB="0" distL="114300" distR="114300" simplePos="0" relativeHeight="251657728" behindDoc="1" locked="0" layoutInCell="0" allowOverlap="1" wp14:anchorId="238AB0CB" wp14:editId="1999673C">
          <wp:simplePos x="0" y="0"/>
          <wp:positionH relativeFrom="margin">
            <wp:posOffset>-952500</wp:posOffset>
          </wp:positionH>
          <wp:positionV relativeFrom="margin">
            <wp:posOffset>-1819910</wp:posOffset>
          </wp:positionV>
          <wp:extent cx="7620000" cy="10778256"/>
          <wp:effectExtent l="0" t="0" r="0" b="0"/>
          <wp:wrapNone/>
          <wp:docPr id="1630236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550" cy="10784691"/>
                  </a:xfrm>
                  <a:prstGeom prst="rect">
                    <a:avLst/>
                  </a:prstGeom>
                  <a:noFill/>
                </pic:spPr>
              </pic:pic>
            </a:graphicData>
          </a:graphic>
          <wp14:sizeRelH relativeFrom="page">
            <wp14:pctWidth>0</wp14:pctWidth>
          </wp14:sizeRelH>
          <wp14:sizeRelV relativeFrom="page">
            <wp14:pctHeight>0</wp14:pctHeight>
          </wp14:sizeRelV>
        </wp:anchor>
      </w:drawing>
    </w:r>
  </w:p>
  <w:p w14:paraId="3F1DE02F" w14:textId="6D04FCF6" w:rsidR="00613BCA" w:rsidRPr="00613BCA" w:rsidRDefault="00E43653" w:rsidP="00613BCA">
    <w:pPr>
      <w:pStyle w:val="Header"/>
      <w:tabs>
        <w:tab w:val="clear" w:pos="4513"/>
        <w:tab w:val="clear" w:pos="9026"/>
        <w:tab w:val="left" w:pos="2866"/>
        <w:tab w:val="left" w:pos="6154"/>
      </w:tabs>
      <w:ind w:firstLine="1440"/>
      <w:rPr>
        <w:b/>
        <w:bCs/>
        <w:color w:val="094496"/>
        <w:sz w:val="32"/>
        <w:szCs w:val="32"/>
      </w:rPr>
    </w:pPr>
    <w:r>
      <w:rPr>
        <w:b/>
        <w:bCs/>
        <w:color w:val="094496"/>
        <w:sz w:val="36"/>
        <w:szCs w:val="36"/>
      </w:rPr>
      <w:tab/>
    </w:r>
    <w:r w:rsidR="00613BCA" w:rsidRPr="00613BCA">
      <w:rPr>
        <w:b/>
        <w:bCs/>
        <w:color w:val="094496"/>
        <w:sz w:val="32"/>
        <w:szCs w:val="32"/>
      </w:rPr>
      <w:t>SAFETY DATA SHEET</w:t>
    </w:r>
  </w:p>
  <w:p w14:paraId="782E2F55" w14:textId="77777777" w:rsidR="00613BCA" w:rsidRPr="00613BCA" w:rsidRDefault="00613BCA" w:rsidP="00613BCA">
    <w:pPr>
      <w:pStyle w:val="Header"/>
      <w:jc w:val="center"/>
      <w:rPr>
        <w:b/>
        <w:bCs/>
        <w:color w:val="094496"/>
        <w:sz w:val="32"/>
        <w:szCs w:val="32"/>
      </w:rPr>
    </w:pPr>
    <w:r w:rsidRPr="00613BCA">
      <w:rPr>
        <w:b/>
        <w:bCs/>
        <w:color w:val="094496"/>
        <w:sz w:val="32"/>
        <w:szCs w:val="32"/>
      </w:rPr>
      <w:t>HEXID A4 HEAT TRANSFER FLUID</w:t>
    </w:r>
  </w:p>
  <w:p w14:paraId="7575B140" w14:textId="73694B39" w:rsidR="00613BCA" w:rsidRDefault="00613BCA" w:rsidP="00613BCA">
    <w:pPr>
      <w:pStyle w:val="NoSpacing"/>
      <w:jc w:val="center"/>
      <w:rPr>
        <w:rFonts w:ascii="Asap" w:hAnsi="Asap"/>
        <w:sz w:val="20"/>
      </w:rPr>
    </w:pPr>
    <w:r w:rsidRPr="002F0841">
      <w:rPr>
        <w:rFonts w:ascii="Asap" w:hAnsi="Asap"/>
        <w:sz w:val="20"/>
      </w:rPr>
      <w:t>Conforming to Directive 1907/2006/EC</w:t>
    </w:r>
  </w:p>
  <w:p w14:paraId="3BC829B5" w14:textId="77777777" w:rsidR="00613BCA" w:rsidRDefault="00613BCA" w:rsidP="00613BCA">
    <w:pPr>
      <w:pStyle w:val="NoSpacing"/>
      <w:jc w:val="center"/>
      <w:rPr>
        <w:rFonts w:ascii="Asap" w:hAnsi="Asap"/>
        <w:sz w:val="20"/>
      </w:rPr>
    </w:pPr>
  </w:p>
  <w:tbl>
    <w:tblPr>
      <w:tblStyle w:val="TableGrid"/>
      <w:tblW w:w="89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1495"/>
      <w:gridCol w:w="1495"/>
      <w:gridCol w:w="1495"/>
      <w:gridCol w:w="1495"/>
      <w:gridCol w:w="1495"/>
    </w:tblGrid>
    <w:tr w:rsidR="00613BCA" w:rsidRPr="00074C66" w14:paraId="322A1B93" w14:textId="77777777" w:rsidTr="00074C66">
      <w:trPr>
        <w:trHeight w:val="286"/>
        <w:jc w:val="center"/>
      </w:trPr>
      <w:tc>
        <w:tcPr>
          <w:tcW w:w="1495" w:type="dxa"/>
          <w:vAlign w:val="center"/>
        </w:tcPr>
        <w:p w14:paraId="59B21019" w14:textId="77777777" w:rsidR="00613BCA" w:rsidRPr="00074C66" w:rsidRDefault="00613BCA" w:rsidP="00613BCA">
          <w:pPr>
            <w:pStyle w:val="Footer"/>
            <w:rPr>
              <w:b/>
              <w:bCs/>
              <w:sz w:val="20"/>
              <w:szCs w:val="20"/>
            </w:rPr>
          </w:pPr>
          <w:r w:rsidRPr="00074C66">
            <w:rPr>
              <w:b/>
              <w:bCs/>
              <w:sz w:val="20"/>
              <w:szCs w:val="20"/>
            </w:rPr>
            <w:t>Issue</w:t>
          </w:r>
        </w:p>
      </w:tc>
      <w:tc>
        <w:tcPr>
          <w:tcW w:w="1495" w:type="dxa"/>
          <w:vAlign w:val="center"/>
        </w:tcPr>
        <w:p w14:paraId="1F2070DE" w14:textId="7C4D14CD" w:rsidR="00613BCA" w:rsidRPr="00074C66" w:rsidRDefault="00A52E7B" w:rsidP="00613BCA">
          <w:pPr>
            <w:pStyle w:val="Footer"/>
            <w:jc w:val="center"/>
            <w:rPr>
              <w:sz w:val="20"/>
              <w:szCs w:val="20"/>
            </w:rPr>
          </w:pPr>
          <w:r w:rsidRPr="00074C66">
            <w:rPr>
              <w:sz w:val="20"/>
              <w:szCs w:val="20"/>
            </w:rPr>
            <w:t>6.</w:t>
          </w:r>
          <w:r w:rsidR="00E56E55">
            <w:rPr>
              <w:sz w:val="20"/>
              <w:szCs w:val="20"/>
            </w:rPr>
            <w:t>7</w:t>
          </w:r>
        </w:p>
      </w:tc>
      <w:tc>
        <w:tcPr>
          <w:tcW w:w="1495" w:type="dxa"/>
          <w:vAlign w:val="center"/>
        </w:tcPr>
        <w:p w14:paraId="3A96A9B3" w14:textId="77777777" w:rsidR="00613BCA" w:rsidRPr="00074C66" w:rsidRDefault="00613BCA" w:rsidP="00613BCA">
          <w:pPr>
            <w:pStyle w:val="Footer"/>
            <w:rPr>
              <w:b/>
              <w:bCs/>
              <w:sz w:val="20"/>
              <w:szCs w:val="20"/>
            </w:rPr>
          </w:pPr>
          <w:r w:rsidRPr="00074C66">
            <w:rPr>
              <w:b/>
              <w:bCs/>
              <w:sz w:val="20"/>
              <w:szCs w:val="20"/>
            </w:rPr>
            <w:t>Date</w:t>
          </w:r>
        </w:p>
      </w:tc>
      <w:tc>
        <w:tcPr>
          <w:tcW w:w="1495" w:type="dxa"/>
          <w:vAlign w:val="center"/>
        </w:tcPr>
        <w:p w14:paraId="40F90295" w14:textId="07EFB163" w:rsidR="00613BCA" w:rsidRPr="00074C66" w:rsidRDefault="00E56E55" w:rsidP="00613BCA">
          <w:pPr>
            <w:pStyle w:val="Footer"/>
            <w:jc w:val="center"/>
            <w:rPr>
              <w:sz w:val="20"/>
              <w:szCs w:val="20"/>
            </w:rPr>
          </w:pPr>
          <w:r>
            <w:rPr>
              <w:sz w:val="20"/>
              <w:szCs w:val="20"/>
            </w:rPr>
            <w:t>April 2025</w:t>
          </w:r>
        </w:p>
      </w:tc>
      <w:tc>
        <w:tcPr>
          <w:tcW w:w="1495" w:type="dxa"/>
          <w:vAlign w:val="center"/>
        </w:tcPr>
        <w:p w14:paraId="2BE4DDB4" w14:textId="77777777" w:rsidR="00613BCA" w:rsidRPr="00074C66" w:rsidRDefault="00613BCA" w:rsidP="00613BCA">
          <w:pPr>
            <w:pStyle w:val="Footer"/>
            <w:rPr>
              <w:b/>
              <w:bCs/>
              <w:sz w:val="20"/>
              <w:szCs w:val="20"/>
            </w:rPr>
          </w:pPr>
          <w:r w:rsidRPr="00074C66">
            <w:rPr>
              <w:b/>
              <w:bCs/>
              <w:sz w:val="20"/>
              <w:szCs w:val="20"/>
            </w:rPr>
            <w:t>Page</w:t>
          </w:r>
        </w:p>
      </w:tc>
      <w:tc>
        <w:tcPr>
          <w:tcW w:w="1495" w:type="dxa"/>
          <w:vAlign w:val="center"/>
        </w:tcPr>
        <w:p w14:paraId="061A187D" w14:textId="77777777" w:rsidR="00613BCA" w:rsidRPr="00074C66" w:rsidRDefault="00613BCA" w:rsidP="00613BCA">
          <w:pPr>
            <w:pStyle w:val="Footer"/>
            <w:tabs>
              <w:tab w:val="clear" w:pos="4513"/>
              <w:tab w:val="clear" w:pos="9026"/>
              <w:tab w:val="left" w:pos="897"/>
            </w:tabs>
            <w:jc w:val="center"/>
            <w:rPr>
              <w:noProof/>
              <w:sz w:val="20"/>
              <w:szCs w:val="20"/>
            </w:rPr>
          </w:pPr>
          <w:r w:rsidRPr="00074C66">
            <w:rPr>
              <w:sz w:val="20"/>
              <w:szCs w:val="20"/>
            </w:rPr>
            <w:fldChar w:fldCharType="begin"/>
          </w:r>
          <w:r w:rsidRPr="00074C66">
            <w:rPr>
              <w:sz w:val="20"/>
              <w:szCs w:val="20"/>
            </w:rPr>
            <w:instrText xml:space="preserve"> PAGE   \* MERGEFORMAT </w:instrText>
          </w:r>
          <w:r w:rsidRPr="00074C66">
            <w:rPr>
              <w:sz w:val="20"/>
              <w:szCs w:val="20"/>
            </w:rPr>
            <w:fldChar w:fldCharType="separate"/>
          </w:r>
          <w:r w:rsidRPr="00074C66">
            <w:rPr>
              <w:noProof/>
              <w:sz w:val="20"/>
              <w:szCs w:val="20"/>
            </w:rPr>
            <w:t>1</w:t>
          </w:r>
          <w:r w:rsidRPr="00074C66">
            <w:rPr>
              <w:noProof/>
              <w:sz w:val="20"/>
              <w:szCs w:val="20"/>
            </w:rPr>
            <w:fldChar w:fldCharType="end"/>
          </w:r>
        </w:p>
      </w:tc>
    </w:tr>
  </w:tbl>
  <w:p w14:paraId="1DD7C58D" w14:textId="77777777" w:rsidR="00E26111" w:rsidRPr="00E26111" w:rsidRDefault="00E26111" w:rsidP="00E26111">
    <w:pPr>
      <w:pStyle w:val="Header"/>
      <w:rPr>
        <w:b/>
        <w:bCs/>
        <w:color w:val="094496"/>
        <w:sz w:val="18"/>
        <w:szCs w:val="18"/>
      </w:rPr>
    </w:pPr>
  </w:p>
  <w:p w14:paraId="4ACD8BCD" w14:textId="221E01D6" w:rsidR="00E26111" w:rsidRPr="001113BC" w:rsidRDefault="00E26111" w:rsidP="001113BC">
    <w:pPr>
      <w:pStyle w:val="Header"/>
      <w:rPr>
        <w:b/>
        <w:bCs/>
        <w:color w:val="094496"/>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D519" w14:textId="5675840C" w:rsidR="00343357" w:rsidRDefault="008F7421">
    <w:pPr>
      <w:pStyle w:val="Header"/>
    </w:pPr>
    <w:r>
      <w:rPr>
        <w:noProof/>
      </w:rPr>
      <w:pict w14:anchorId="7557B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margin-left:0;margin-top:0;width:595.4pt;height:842.15pt;z-index:-251657728;mso-position-horizontal:center;mso-position-horizontal-relative:margin;mso-position-vertical:center;mso-position-vertical-relative:margin" o:allowincell="f">
          <v:imagedata r:id="rId1" o:titl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81F36"/>
    <w:multiLevelType w:val="multilevel"/>
    <w:tmpl w:val="480AFED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72598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57"/>
    <w:rsid w:val="000248BD"/>
    <w:rsid w:val="00030744"/>
    <w:rsid w:val="00062742"/>
    <w:rsid w:val="0006573E"/>
    <w:rsid w:val="0007430E"/>
    <w:rsid w:val="00074C66"/>
    <w:rsid w:val="0008250A"/>
    <w:rsid w:val="000B0F01"/>
    <w:rsid w:val="000C2EF4"/>
    <w:rsid w:val="001113BC"/>
    <w:rsid w:val="00151D01"/>
    <w:rsid w:val="00170D03"/>
    <w:rsid w:val="0017705F"/>
    <w:rsid w:val="001A3053"/>
    <w:rsid w:val="002B7A67"/>
    <w:rsid w:val="002C0672"/>
    <w:rsid w:val="002C64A5"/>
    <w:rsid w:val="002D308F"/>
    <w:rsid w:val="002E3B13"/>
    <w:rsid w:val="00343357"/>
    <w:rsid w:val="00372A51"/>
    <w:rsid w:val="003C1D1A"/>
    <w:rsid w:val="0044460A"/>
    <w:rsid w:val="0047209A"/>
    <w:rsid w:val="00495581"/>
    <w:rsid w:val="004F48B4"/>
    <w:rsid w:val="00506915"/>
    <w:rsid w:val="00541DD9"/>
    <w:rsid w:val="00545138"/>
    <w:rsid w:val="005C156A"/>
    <w:rsid w:val="005C50EF"/>
    <w:rsid w:val="005D1D07"/>
    <w:rsid w:val="00613BCA"/>
    <w:rsid w:val="0062358F"/>
    <w:rsid w:val="006717C3"/>
    <w:rsid w:val="00673490"/>
    <w:rsid w:val="006808AA"/>
    <w:rsid w:val="006904AC"/>
    <w:rsid w:val="007814C1"/>
    <w:rsid w:val="007B65EE"/>
    <w:rsid w:val="00855860"/>
    <w:rsid w:val="008A0721"/>
    <w:rsid w:val="00925C3C"/>
    <w:rsid w:val="00945353"/>
    <w:rsid w:val="00972F33"/>
    <w:rsid w:val="009838BD"/>
    <w:rsid w:val="00996AEC"/>
    <w:rsid w:val="009B41EF"/>
    <w:rsid w:val="009C04E5"/>
    <w:rsid w:val="00A03AEE"/>
    <w:rsid w:val="00A52E7B"/>
    <w:rsid w:val="00A57B2A"/>
    <w:rsid w:val="00A90D01"/>
    <w:rsid w:val="00AF6257"/>
    <w:rsid w:val="00B00BD3"/>
    <w:rsid w:val="00B45945"/>
    <w:rsid w:val="00B8101A"/>
    <w:rsid w:val="00BB63AF"/>
    <w:rsid w:val="00BF2720"/>
    <w:rsid w:val="00C127E7"/>
    <w:rsid w:val="00CA03A7"/>
    <w:rsid w:val="00D50D88"/>
    <w:rsid w:val="00D546D1"/>
    <w:rsid w:val="00D873C8"/>
    <w:rsid w:val="00E26111"/>
    <w:rsid w:val="00E43653"/>
    <w:rsid w:val="00E56E55"/>
    <w:rsid w:val="00F235ED"/>
    <w:rsid w:val="00F2510B"/>
    <w:rsid w:val="00F428B8"/>
    <w:rsid w:val="00FD387A"/>
    <w:rsid w:val="00F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690099D"/>
  <w15:chartTrackingRefBased/>
  <w15:docId w15:val="{62214913-892D-44B0-A74F-8AA62441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sap" w:eastAsiaTheme="minorHAnsi" w:hAnsi="Asap"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3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3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33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33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33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33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33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3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3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3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3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33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33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33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33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33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3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3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3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3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3357"/>
    <w:pPr>
      <w:spacing w:before="160"/>
      <w:jc w:val="center"/>
    </w:pPr>
    <w:rPr>
      <w:i/>
      <w:iCs/>
      <w:color w:val="404040" w:themeColor="text1" w:themeTint="BF"/>
    </w:rPr>
  </w:style>
  <w:style w:type="character" w:customStyle="1" w:styleId="QuoteChar">
    <w:name w:val="Quote Char"/>
    <w:basedOn w:val="DefaultParagraphFont"/>
    <w:link w:val="Quote"/>
    <w:uiPriority w:val="29"/>
    <w:rsid w:val="00343357"/>
    <w:rPr>
      <w:i/>
      <w:iCs/>
      <w:color w:val="404040" w:themeColor="text1" w:themeTint="BF"/>
    </w:rPr>
  </w:style>
  <w:style w:type="paragraph" w:styleId="ListParagraph">
    <w:name w:val="List Paragraph"/>
    <w:basedOn w:val="Normal"/>
    <w:uiPriority w:val="34"/>
    <w:qFormat/>
    <w:rsid w:val="00343357"/>
    <w:pPr>
      <w:ind w:left="720"/>
      <w:contextualSpacing/>
    </w:pPr>
  </w:style>
  <w:style w:type="character" w:styleId="IntenseEmphasis">
    <w:name w:val="Intense Emphasis"/>
    <w:basedOn w:val="DefaultParagraphFont"/>
    <w:uiPriority w:val="21"/>
    <w:qFormat/>
    <w:rsid w:val="00343357"/>
    <w:rPr>
      <w:i/>
      <w:iCs/>
      <w:color w:val="0F4761" w:themeColor="accent1" w:themeShade="BF"/>
    </w:rPr>
  </w:style>
  <w:style w:type="paragraph" w:styleId="IntenseQuote">
    <w:name w:val="Intense Quote"/>
    <w:basedOn w:val="Normal"/>
    <w:next w:val="Normal"/>
    <w:link w:val="IntenseQuoteChar"/>
    <w:uiPriority w:val="30"/>
    <w:qFormat/>
    <w:rsid w:val="00343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357"/>
    <w:rPr>
      <w:i/>
      <w:iCs/>
      <w:color w:val="0F4761" w:themeColor="accent1" w:themeShade="BF"/>
    </w:rPr>
  </w:style>
  <w:style w:type="character" w:styleId="IntenseReference">
    <w:name w:val="Intense Reference"/>
    <w:basedOn w:val="DefaultParagraphFont"/>
    <w:uiPriority w:val="32"/>
    <w:qFormat/>
    <w:rsid w:val="00343357"/>
    <w:rPr>
      <w:b/>
      <w:bCs/>
      <w:smallCaps/>
      <w:color w:val="0F4761" w:themeColor="accent1" w:themeShade="BF"/>
      <w:spacing w:val="5"/>
    </w:rPr>
  </w:style>
  <w:style w:type="paragraph" w:styleId="Header">
    <w:name w:val="header"/>
    <w:basedOn w:val="Normal"/>
    <w:link w:val="HeaderChar"/>
    <w:uiPriority w:val="99"/>
    <w:unhideWhenUsed/>
    <w:rsid w:val="0034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357"/>
  </w:style>
  <w:style w:type="paragraph" w:styleId="Footer">
    <w:name w:val="footer"/>
    <w:basedOn w:val="Normal"/>
    <w:link w:val="FooterChar"/>
    <w:uiPriority w:val="99"/>
    <w:unhideWhenUsed/>
    <w:rsid w:val="0034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357"/>
  </w:style>
  <w:style w:type="table" w:styleId="TableGrid">
    <w:name w:val="Table Grid"/>
    <w:basedOn w:val="TableNormal"/>
    <w:uiPriority w:val="39"/>
    <w:rsid w:val="0034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343357"/>
  </w:style>
  <w:style w:type="paragraph" w:customStyle="1" w:styleId="cvgsua">
    <w:name w:val="cvgsua"/>
    <w:basedOn w:val="Normal"/>
    <w:rsid w:val="003433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B0F01"/>
    <w:rPr>
      <w:color w:val="0000FF"/>
      <w:u w:val="single"/>
    </w:rPr>
  </w:style>
  <w:style w:type="character" w:styleId="UnresolvedMention">
    <w:name w:val="Unresolved Mention"/>
    <w:basedOn w:val="DefaultParagraphFont"/>
    <w:uiPriority w:val="99"/>
    <w:semiHidden/>
    <w:unhideWhenUsed/>
    <w:rsid w:val="00B45945"/>
    <w:rPr>
      <w:color w:val="605E5C"/>
      <w:shd w:val="clear" w:color="auto" w:fill="E1DFDD"/>
    </w:rPr>
  </w:style>
  <w:style w:type="paragraph" w:styleId="BodyText">
    <w:name w:val="Body Text"/>
    <w:basedOn w:val="Normal"/>
    <w:link w:val="BodyTextChar"/>
    <w:semiHidden/>
    <w:rsid w:val="00B45945"/>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semiHidden/>
    <w:rsid w:val="00B45945"/>
    <w:rPr>
      <w:rFonts w:ascii="Times New Roman" w:eastAsia="Times New Roman" w:hAnsi="Times New Roman" w:cs="Times New Roman"/>
      <w:kern w:val="0"/>
      <w:sz w:val="24"/>
      <w:szCs w:val="24"/>
      <w14:ligatures w14:val="none"/>
    </w:rPr>
  </w:style>
  <w:style w:type="paragraph" w:styleId="NoSpacing">
    <w:name w:val="No Spacing"/>
    <w:uiPriority w:val="1"/>
    <w:qFormat/>
    <w:rsid w:val="00613BCA"/>
    <w:pPr>
      <w:spacing w:after="0" w:line="240" w:lineRule="auto"/>
    </w:pPr>
    <w:rPr>
      <w:rFonts w:ascii="Tahoma" w:hAnsi="Tahom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17135">
      <w:bodyDiv w:val="1"/>
      <w:marLeft w:val="0"/>
      <w:marRight w:val="0"/>
      <w:marTop w:val="0"/>
      <w:marBottom w:val="0"/>
      <w:divBdr>
        <w:top w:val="none" w:sz="0" w:space="0" w:color="auto"/>
        <w:left w:val="none" w:sz="0" w:space="0" w:color="auto"/>
        <w:bottom w:val="none" w:sz="0" w:space="0" w:color="auto"/>
        <w:right w:val="none" w:sz="0" w:space="0" w:color="auto"/>
      </w:divBdr>
    </w:div>
    <w:div w:id="464785553">
      <w:bodyDiv w:val="1"/>
      <w:marLeft w:val="0"/>
      <w:marRight w:val="0"/>
      <w:marTop w:val="0"/>
      <w:marBottom w:val="0"/>
      <w:divBdr>
        <w:top w:val="none" w:sz="0" w:space="0" w:color="auto"/>
        <w:left w:val="none" w:sz="0" w:space="0" w:color="auto"/>
        <w:bottom w:val="none" w:sz="0" w:space="0" w:color="auto"/>
        <w:right w:val="none" w:sz="0" w:space="0" w:color="auto"/>
      </w:divBdr>
    </w:div>
    <w:div w:id="776024622">
      <w:bodyDiv w:val="1"/>
      <w:marLeft w:val="0"/>
      <w:marRight w:val="0"/>
      <w:marTop w:val="0"/>
      <w:marBottom w:val="0"/>
      <w:divBdr>
        <w:top w:val="none" w:sz="0" w:space="0" w:color="auto"/>
        <w:left w:val="none" w:sz="0" w:space="0" w:color="auto"/>
        <w:bottom w:val="none" w:sz="0" w:space="0" w:color="auto"/>
        <w:right w:val="none" w:sz="0" w:space="0" w:color="auto"/>
      </w:divBdr>
    </w:div>
    <w:div w:id="1158038969">
      <w:bodyDiv w:val="1"/>
      <w:marLeft w:val="0"/>
      <w:marRight w:val="0"/>
      <w:marTop w:val="0"/>
      <w:marBottom w:val="0"/>
      <w:divBdr>
        <w:top w:val="none" w:sz="0" w:space="0" w:color="auto"/>
        <w:left w:val="none" w:sz="0" w:space="0" w:color="auto"/>
        <w:bottom w:val="none" w:sz="0" w:space="0" w:color="auto"/>
        <w:right w:val="none" w:sz="0" w:space="0" w:color="auto"/>
      </w:divBdr>
      <w:divsChild>
        <w:div w:id="1469544762">
          <w:marLeft w:val="0"/>
          <w:marRight w:val="0"/>
          <w:marTop w:val="0"/>
          <w:marBottom w:val="0"/>
          <w:divBdr>
            <w:top w:val="none" w:sz="0" w:space="0" w:color="auto"/>
            <w:left w:val="none" w:sz="0" w:space="0" w:color="auto"/>
            <w:bottom w:val="none" w:sz="0" w:space="0" w:color="auto"/>
            <w:right w:val="none" w:sz="0" w:space="0" w:color="auto"/>
          </w:divBdr>
        </w:div>
      </w:divsChild>
    </w:div>
    <w:div w:id="1174880914">
      <w:bodyDiv w:val="1"/>
      <w:marLeft w:val="0"/>
      <w:marRight w:val="0"/>
      <w:marTop w:val="0"/>
      <w:marBottom w:val="0"/>
      <w:divBdr>
        <w:top w:val="none" w:sz="0" w:space="0" w:color="auto"/>
        <w:left w:val="none" w:sz="0" w:space="0" w:color="auto"/>
        <w:bottom w:val="none" w:sz="0" w:space="0" w:color="auto"/>
        <w:right w:val="none" w:sz="0" w:space="0" w:color="auto"/>
      </w:divBdr>
    </w:div>
    <w:div w:id="1226573669">
      <w:bodyDiv w:val="1"/>
      <w:marLeft w:val="0"/>
      <w:marRight w:val="0"/>
      <w:marTop w:val="0"/>
      <w:marBottom w:val="0"/>
      <w:divBdr>
        <w:top w:val="none" w:sz="0" w:space="0" w:color="auto"/>
        <w:left w:val="none" w:sz="0" w:space="0" w:color="auto"/>
        <w:bottom w:val="none" w:sz="0" w:space="0" w:color="auto"/>
        <w:right w:val="none" w:sz="0" w:space="0" w:color="auto"/>
      </w:divBdr>
    </w:div>
    <w:div w:id="1312363521">
      <w:bodyDiv w:val="1"/>
      <w:marLeft w:val="0"/>
      <w:marRight w:val="0"/>
      <w:marTop w:val="0"/>
      <w:marBottom w:val="0"/>
      <w:divBdr>
        <w:top w:val="none" w:sz="0" w:space="0" w:color="auto"/>
        <w:left w:val="none" w:sz="0" w:space="0" w:color="auto"/>
        <w:bottom w:val="none" w:sz="0" w:space="0" w:color="auto"/>
        <w:right w:val="none" w:sz="0" w:space="0" w:color="auto"/>
      </w:divBdr>
    </w:div>
    <w:div w:id="1322851146">
      <w:bodyDiv w:val="1"/>
      <w:marLeft w:val="0"/>
      <w:marRight w:val="0"/>
      <w:marTop w:val="0"/>
      <w:marBottom w:val="0"/>
      <w:divBdr>
        <w:top w:val="none" w:sz="0" w:space="0" w:color="auto"/>
        <w:left w:val="none" w:sz="0" w:space="0" w:color="auto"/>
        <w:bottom w:val="none" w:sz="0" w:space="0" w:color="auto"/>
        <w:right w:val="none" w:sz="0" w:space="0" w:color="auto"/>
      </w:divBdr>
    </w:div>
    <w:div w:id="1625774430">
      <w:bodyDiv w:val="1"/>
      <w:marLeft w:val="0"/>
      <w:marRight w:val="0"/>
      <w:marTop w:val="0"/>
      <w:marBottom w:val="0"/>
      <w:divBdr>
        <w:top w:val="none" w:sz="0" w:space="0" w:color="auto"/>
        <w:left w:val="none" w:sz="0" w:space="0" w:color="auto"/>
        <w:bottom w:val="none" w:sz="0" w:space="0" w:color="auto"/>
        <w:right w:val="none" w:sz="0" w:space="0" w:color="auto"/>
      </w:divBdr>
    </w:div>
    <w:div w:id="1631403654">
      <w:bodyDiv w:val="1"/>
      <w:marLeft w:val="0"/>
      <w:marRight w:val="0"/>
      <w:marTop w:val="0"/>
      <w:marBottom w:val="0"/>
      <w:divBdr>
        <w:top w:val="none" w:sz="0" w:space="0" w:color="auto"/>
        <w:left w:val="none" w:sz="0" w:space="0" w:color="auto"/>
        <w:bottom w:val="none" w:sz="0" w:space="0" w:color="auto"/>
        <w:right w:val="none" w:sz="0" w:space="0" w:color="auto"/>
      </w:divBdr>
    </w:div>
    <w:div w:id="19631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app-ther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p-ther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Owen</dc:creator>
  <cp:keywords/>
  <dc:description/>
  <cp:lastModifiedBy>Rhiannon Owen</cp:lastModifiedBy>
  <cp:revision>8</cp:revision>
  <dcterms:created xsi:type="dcterms:W3CDTF">2024-09-13T14:55:00Z</dcterms:created>
  <dcterms:modified xsi:type="dcterms:W3CDTF">2025-04-07T12:19:00Z</dcterms:modified>
</cp:coreProperties>
</file>